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Yu Kenny Joe Yung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TIMES SQUARE, 30TH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 Nuclear Energy Inc.</w:t>
              </w:r>
            </w:hyperlink>
            <w:r>
              <w:rPr/>
              <w:t xml:space="preserve"> [ </w:t>
            </w:r>
            <w:r>
              <w:rPr>
                <w:rFonts w:ascii="Times;serif" w:hAnsi="Times;serif"/>
                <w:color w:val="0000FF"/>
                <w:sz w:val="24"/>
                <w:shd w:fill="FFFFFF" w:val="clear"/>
              </w:rPr>
              <w:t>NNE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9,536</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on October 1, 2026 ("Grant Date") under the Issuer's 2025 Equity Incentive Plan ("2025 Plan") based on a value per RSU of $15.73, the closing price of the Issuer's common stock as reported on The Nasdaq Capital Market on October 1, 2026. Each RSU represents the right to receive one share of the Issuer's common stock, subject to the terms and conditions set forth in the award of such RSUs by the Issuer to the Reporting Person pursuant to a Restricted Stock Unit Award Agreement and the 2025 Plan. The RSUs shall vest on the first anniversary of the Grant Date, subject to the Reporting Person's continued service with the Issuer through the vesting date. Any applicable fraction of an RSU that would otherwise be vested will be accumulated and will vest only when a whole RSU has accumulated.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Kenny Yu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1805" TargetMode="External"/><Relationship Id="rId5" Type="http://schemas.openxmlformats.org/officeDocument/2006/relationships/hyperlink" Target="http://www.sec.gov/cgi-bin/browse-edgar?action=getcompany&amp;CIK=00019238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3767</Characters>
  <CharactersWithSpaces>4412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