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Walker James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257,790</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257,790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October 1, 2026 ("Grant Date") under the Issuer's 2025 Equity Incentive Plan ("2025 Plan") based on a value per RSU of $15.73, the closing price of the Issuer's common stock as reported on The Nasdaq Capital Market on October 1, 2026. Each RSU represents the right to receive one share of the Issuer's common stock, subject to the terms and conditions set forth in the award of such RSUs by the Issuer to the Reporting Person pursuant to a Restricted Stock Unit Award Agreement and the 2025 Plan. The RSUs shall vest in three equal installments, with one third (1/3) vesting on each of the first, second and third anniversary of the Grant Date, subject to the Reporting Person's continued service with the Issuer through each applicable vesting date. Any applicable fraction of an RSU that would otherwise be vested will be accumulated and will vest only when a whole RSU has accumulated.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John Walker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1757"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3882</Characters>
  <CharactersWithSpaces>4544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