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jc w:val="center"/>
        <w:ind w:left="3820" w:right="940" w:hanging="2872"/>
        <w:spacing w:after="0" w:line="479"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37" w:lineRule="exact"/>
        <w:rPr>
          <w:rFonts w:ascii="MS PGothic" w:cs="MS PGothic" w:eastAsia="MS PGothic" w:hAnsi="MS PGothic"/>
          <w:sz w:val="18"/>
          <w:szCs w:val="18"/>
          <w:color w:val="auto"/>
        </w:rPr>
      </w:pPr>
    </w:p>
    <w:p>
      <w:pPr>
        <w:jc w:val="center"/>
        <w:ind w:left="3240" w:right="940" w:hanging="229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001-42044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88-0861977</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10 Times Square, 30th Floor</w:t>
            </w:r>
          </w:p>
        </w:tc>
        <w:tc>
          <w:tcPr>
            <w:tcW w:w="3560" w:type="dxa"/>
            <w:vAlign w:val="bottom"/>
          </w:tcPr>
          <w:p>
            <w:pPr>
              <w:spacing w:after="0"/>
              <w:rPr>
                <w:sz w:val="24"/>
                <w:szCs w:val="24"/>
                <w:color w:val="auto"/>
              </w:rPr>
            </w:pPr>
          </w:p>
        </w:tc>
      </w:t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5"/>
        </w:trPr>
        <w:tc>
          <w:tcPr>
            <w:tcW w:w="7680" w:type="dxa"/>
            <w:vAlign w:val="bottom"/>
            <w:gridSpan w:val="3"/>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(212) 634-9206</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32"/>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NNE</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480" w:space="720"/>
            <w:col w:w="5040"/>
          </w:cols>
          <w:pgMar w:left="320" w:top="740"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2026, there were 52,083,294 shares of the Company’s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4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NANO NUCLEAR ENERGY INC.</w:t>
            </w:r>
          </w:p>
        </w:tc>
        <w:tc>
          <w:tcPr>
            <w:tcW w:w="6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6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4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0"/>
        </w:trPr>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158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(Unaudited) and September 30,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98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and Six Months Ended March</w:t>
            </w: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r>
      <w:tr>
        <w:trPr>
          <w:trHeight w:val="217"/>
        </w:trPr>
        <w:tc>
          <w:tcPr>
            <w:tcW w:w="98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31, 2026 and 2025</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98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and Six Months Ended March 31,</w:t>
            </w:r>
          </w:p>
        </w:tc>
        <w:tc>
          <w:tcPr>
            <w:tcW w:w="640" w:type="dxa"/>
            <w:vAlign w:val="bottom"/>
            <w:shd w:val="clear" w:color="auto" w:fill="CCEEFF"/>
          </w:tcPr>
          <w:p>
            <w:pPr>
              <w:spacing w:after="0"/>
              <w:rPr>
                <w:sz w:val="15"/>
                <w:szCs w:val="15"/>
                <w:color w:val="auto"/>
              </w:rPr>
            </w:pPr>
          </w:p>
        </w:tc>
      </w:tr>
      <w:tr>
        <w:trPr>
          <w:trHeight w:val="217"/>
        </w:trPr>
        <w:tc>
          <w:tcPr>
            <w:tcW w:w="98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260" w:type="dxa"/>
            <w:vAlign w:val="bottom"/>
            <w:tcBorders>
              <w:top w:val="single" w:sz="8" w:color="CCEEFF"/>
              <w:bottom w:val="single" w:sz="8" w:color="auto"/>
            </w:tcBorders>
            <w:gridSpan w:val="6"/>
          </w:tcPr>
          <w:p>
            <w:pPr>
              <w:jc w:val="center"/>
              <w:ind w:right="470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“Management’s Discussion and Analysis of Financial Condition and Results of Operations.” Readers are cautioned that significant known and unknown risks, uncertainties and other important factors (including those over which we may have no control) and others listed in this Report, in the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our Annual Report on Form 10-K for the fiscal year ended September 30, 2025 (“2025 Annual Report”), as filed with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Commission (the “SEC”) on December 18, 2025, and in our other filings with the SEC may cause our actual results, performance or achievements to be materially different from those expressed or implied by the forward-looking statements.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can identify these forward-looking statements by terms such as “anticipate,” “believe,” “continue,” “could,” “depends,” “estimate,” “expects,” “intend,” “may,” “ongoing,” “plan,” “potential,” “predict,” “project,” “aim,” “goal,” “should,” “will,” “would,” “assumption” or “judgment” or derivatives of these terms or other similar expressions pertaining to the future, although not all forward-looking statements contain those words.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present our estimates and assumptions only as of the date of this Report and are subject to several known and unknown risks, uncertainties, and assumptions. Accordingly, you are cautioned not to place undue reliance on forward-looking statements, which speak only as of the dates on which they are made. Important factors that could cause actual results to differ materially from those in the forward-looking statements include, but are not limited to, those challenges summarized below:</w:t>
      </w:r>
    </w:p>
    <w:p>
      <w:pPr>
        <w:spacing w:after="0" w:line="180"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manufacture, demonstrate, obtain regulatory approval for and ultimately sell our proposed nuclear reactors or the power from our reactors, other products, technologies or services we are developing on the timelines we currently anticipate, if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or internally develop the necessary fuel and material supply chain to power our next generation of advanced nuclear reactors.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internally develop the required transportation capabilities to move our reactors, their fuel, and other special materials critical to the commercial deployment of our reactor systems.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internally, and to externally provide, nuclear technical support and consultation services for the resurgent and expanding nuclear energy industry, both domestically and internationally.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retain, and expand our technical and business staff to meet the demands of our expanding and diversifying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the substantial amount of additional funds that will be necessary for our business to succeed, which funds may not be available on acceptable terms or available at all.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key third party collaborators including, without limitation, The University of Illinois Urbana-Champaign, to perform their obligations to us and meet goals and timelines as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nuclear reactors or other products, technologies or services we are developing.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complex and time-consuming nuclear regulatory regimes in the jurisdictions we operate, including unanticipated regulations or regulatory failures that could add barriers, time and cost to our business plans.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expenses, capital requirements, revenue potential and our needs for, or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pre-revenue company in a rapidly evolving, complex and highly competitive industry with a business model that is still being developed and is largely untested.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a significant disruption in our information technology system, including security breaches, or our ability to implement new system and software successfully.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forward-looking statements regarding our company and its prospects included or incorporated by reference in this Report including, without limitation, those under “Risk Factors” and “Management’s Discussion and Analysis of Financial Condition and Results of Operations,” as such factors may be updated from time to time in our other filings with the SEC.</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Forward-looking statements necessarily involve significant risks and uncertainties, and our actual results could differ materially from those anticipated in the forward-looking statements due to a number of factors, including those set forth in our 2025 Annual Report and other SEC filings. All subsequent written and oral forward-looking statements attributable to us or persons acting on our behalf are expressly qualified in their entirety by the cautionary statements contained above. Prior to investing in our common stock, you should read this Report, our 2025 Annual Report and other SEC filings completely and with the understanding that our actual future results may be materially different from what we currently expect. We qualify all of our forward-looking statements by these cautionary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197,675,624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203,265,052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370,997,289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1,502,378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902,861</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current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1,300,000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 at fair value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222,645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571,697,936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204,667,913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385,500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non-current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274,001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269,235</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18,091,214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9,783,777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2,392,837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2,560,896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related party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9,075,045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9,075,045</w:t>
            </w:r>
          </w:p>
        </w:tc>
        <w:tc>
          <w:tcPr>
            <w:tcW w:w="80" w:type="dxa"/>
            <w:vAlign w:val="bottom"/>
          </w:tcPr>
          <w:p>
            <w:pPr>
              <w:spacing w:after="0"/>
              <w:rPr>
                <w:sz w:val="19"/>
                <w:szCs w:val="19"/>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603,916,533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4,350,962</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1,314,596</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547,394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534,128</w:t>
            </w:r>
          </w:p>
        </w:tc>
        <w:tc>
          <w:tcPr>
            <w:tcW w:w="80" w:type="dxa"/>
            <w:vAlign w:val="bottom"/>
            <w:shd w:val="clear" w:color="auto" w:fill="CCEEFF"/>
          </w:tcPr>
          <w:p>
            <w:pPr>
              <w:spacing w:after="0"/>
              <w:rPr>
                <w:sz w:val="18"/>
                <w:szCs w:val="18"/>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1,074,000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1,978,000</w:t>
            </w:r>
          </w:p>
        </w:tc>
        <w:tc>
          <w:tcPr>
            <w:tcW w:w="80" w:type="dxa"/>
            <w:vAlign w:val="bottom"/>
          </w:tcPr>
          <w:p>
            <w:pPr>
              <w:spacing w:after="0"/>
              <w:rPr>
                <w:sz w:val="19"/>
                <w:szCs w:val="19"/>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5,972,356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3,826,724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2,054,989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2,261,414</w:t>
            </w:r>
          </w:p>
        </w:tc>
        <w:tc>
          <w:tcPr>
            <w:tcW w:w="8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8,027,345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6,088,138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25,000,000 authorized as of March 31, 2026 and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2025; none issued and outstanding as of March 31, 2026 and September 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authorized as of March 31, 2026 and</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52,083,294 and 41,738,358 shares issued and outstanding as of</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and September 30, 2025, respectively</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5,208</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669,086,072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280,065,412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(73,197,302)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(57,500,857)</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595,889,188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222,568,728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603,916,533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228,656,866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6"/>
          </w:tcPr>
          <w:p>
            <w:pPr>
              <w:jc w:val="right"/>
              <w:ind w:right="9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8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560" w:type="dxa"/>
            <w:vAlign w:val="bottom"/>
            <w:tcBorders>
              <w:top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20" w:type="dxa"/>
            <w:vAlign w:val="bottom"/>
          </w:tcPr>
          <w:p>
            <w:pPr>
              <w:spacing w:after="0"/>
              <w:rPr>
                <w:sz w:val="19"/>
                <w:szCs w:val="19"/>
                <w:color w:val="auto"/>
              </w:rPr>
            </w:pPr>
          </w:p>
        </w:tc>
        <w:tc>
          <w:tcPr>
            <w:tcW w:w="1520" w:type="dxa"/>
            <w:vAlign w:val="bottom"/>
            <w:tcBorders>
              <w:top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5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Operating expenses</w:t>
            </w:r>
          </w:p>
        </w:tc>
        <w:tc>
          <w:tcPr>
            <w:tcW w:w="32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8,589,312</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15,697,178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15,475,914</w:t>
            </w:r>
          </w:p>
        </w:tc>
        <w:tc>
          <w:tcPr>
            <w:tcW w:w="420" w:type="dxa"/>
            <w:vAlign w:val="bottom"/>
            <w:gridSpan w:val="2"/>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18,191,748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5,659,427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6,712,543</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11,059,838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(176,500)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78,250</w:t>
            </w:r>
          </w:p>
        </w:tc>
        <w:tc>
          <w:tcPr>
            <w:tcW w:w="280" w:type="dxa"/>
            <w:vAlign w:val="bottom"/>
          </w:tcPr>
          <w:p>
            <w:pPr>
              <w:spacing w:after="0"/>
              <w:rPr>
                <w:sz w:val="19"/>
                <w:szCs w:val="19"/>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(904,000)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14,072,239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22,487,971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25,631,752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26,411,714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4,949,105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1,179,250</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9,962,662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tcPr>
          <w:p>
            <w:pPr>
              <w:spacing w:after="0"/>
              <w:rPr>
                <w:sz w:val="18"/>
                <w:szCs w:val="18"/>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(57,032)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(179,870)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accounts receivable</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152,515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(9,180,166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(21,308,721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(15,696,445</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(24,422,083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15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5,930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(4,790)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(9,174,236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(21,308,721</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(15,701,235</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(24,422,083</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gridSpan w:val="2"/>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51,649,161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37,074,514</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50,718,061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35,502,417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51,649,161</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37,074,514</w:t>
            </w:r>
          </w:p>
        </w:tc>
        <w:tc>
          <w:tcPr>
            <w:tcW w:w="32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50,718,061</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35,502,417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9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50,581,794</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$ 663,601,589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(64,017,136)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$ 599,578,789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28,500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126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2,774,846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2,774,998</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2,681,137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2,681,137</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(9,180,166)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(9,180,166)</w:t>
            </w: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5,930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9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52,083,294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669,086,072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(73,197,302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$ 595,889,188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2026</w:t>
            </w: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5"/>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41,738,358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$ 280,065,412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(57,500,857)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$ 222,568,728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8,490,767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399,999,183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400,000,033</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(21,520,711)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(21,520,711)</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141,669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2,473,534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2,473,548</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1,695,000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3,314,827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3,314,998</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4,753,827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4,753,827</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(15,696,445)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(15,696,445)</w:t>
            </w: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52,083,294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669,086,072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(73,197,302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$ 595,889,188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6"/>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7"/>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36,742,099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150,600,504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(20,547,143)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130,057,036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374,832</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6,373,085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6,373,122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148,000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428,985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429,000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16,476,053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16,476,053</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(21,308,721)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(21,308,721)</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37,264,931</w:t>
            </w:r>
          </w:p>
        </w:tc>
        <w:tc>
          <w:tcPr>
            <w:tcW w:w="5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9"/>
              </w:rPr>
              <w:t>173,878,627</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(41,855,864)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132,026,490</w:t>
            </w:r>
          </w:p>
        </w:tc>
        <w:tc>
          <w:tcPr>
            <w:tcW w:w="0" w:type="dxa"/>
            <w:vAlign w:val="bottom"/>
          </w:tcPr>
          <w:p>
            <w:pPr>
              <w:spacing w:after="0"/>
              <w:rPr>
                <w:sz w:val="1"/>
                <w:szCs w:val="1"/>
                <w:color w:val="auto"/>
              </w:rPr>
            </w:pPr>
          </w:p>
        </w:tc>
      </w:tr>
      <w:tr>
        <w:trPr>
          <w:trHeight w:val="425"/>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March 31, 2025</w:t>
            </w:r>
          </w:p>
        </w:tc>
        <w:tc>
          <w:tcPr>
            <w:tcW w:w="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9"/>
                <w:szCs w:val="19"/>
                <w:color w:val="auto"/>
              </w:rPr>
            </w:pPr>
          </w:p>
        </w:tc>
        <w:tc>
          <w:tcPr>
            <w:tcW w:w="134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4"/>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30,715,663</w:t>
            </w:r>
          </w:p>
        </w:tc>
        <w:tc>
          <w:tcPr>
            <w:tcW w:w="3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49,038,165</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(17,433,781)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31,607,456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18"/>
                <w:szCs w:val="18"/>
                <w:color w:val="auto"/>
              </w:rPr>
            </w:pPr>
          </w:p>
        </w:tc>
        <w:tc>
          <w:tcPr>
            <w:tcW w:w="1520" w:type="dxa"/>
            <w:vAlign w:val="bottom"/>
            <w:gridSpan w:val="7"/>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issuances</w:t>
            </w:r>
          </w:p>
        </w:tc>
        <w:tc>
          <w:tcPr>
            <w:tcW w:w="15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4,935,294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101,399,518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101,400,012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(9,058,856)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(9,058,856)</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975,974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14,387,311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14,387,408</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638,000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1,636,436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1,636,500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16,476,053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16,476,053</w:t>
            </w: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(24,422,083)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(24,422,083)</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lef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380" w:type="dxa"/>
            <w:vAlign w:val="bottom"/>
          </w:tcPr>
          <w:p>
            <w:pPr>
              <w:spacing w:after="0"/>
              <w:rPr>
                <w:sz w:val="19"/>
                <w:szCs w:val="19"/>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37,264,931</w:t>
            </w:r>
          </w:p>
        </w:tc>
        <w:tc>
          <w:tcPr>
            <w:tcW w:w="5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3,727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173,878,627</w:t>
            </w:r>
          </w:p>
        </w:tc>
        <w:tc>
          <w:tcPr>
            <w:tcW w:w="2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(41,855,864)</w:t>
            </w:r>
          </w:p>
        </w:tc>
        <w:tc>
          <w:tcPr>
            <w:tcW w:w="16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132,026,490</w:t>
            </w:r>
          </w:p>
        </w:tc>
        <w:tc>
          <w:tcPr>
            <w:tcW w:w="0" w:type="dxa"/>
            <w:vAlign w:val="bottom"/>
          </w:tcPr>
          <w:p>
            <w:pPr>
              <w:spacing w:after="0"/>
              <w:rPr>
                <w:sz w:val="1"/>
                <w:szCs w:val="1"/>
                <w:color w:val="auto"/>
              </w:rPr>
            </w:pPr>
          </w:p>
        </w:tc>
      </w:tr>
      <w:tr>
        <w:trPr>
          <w:trHeight w:val="20"/>
        </w:trPr>
        <w:tc>
          <w:tcPr>
            <w:tcW w:w="4180" w:type="dxa"/>
            <w:vAlign w:val="bottom"/>
            <w:gridSpan w:val="3"/>
          </w:tcPr>
          <w:p>
            <w:pPr>
              <w:spacing w:after="0" w:line="20" w:lineRule="exact"/>
              <w:rPr>
                <w:sz w:val="1"/>
                <w:szCs w:val="1"/>
                <w:color w:val="auto"/>
              </w:rPr>
            </w:pPr>
          </w:p>
        </w:tc>
        <w:tc>
          <w:tcPr>
            <w:tcW w:w="1140" w:type="dxa"/>
            <w:vAlign w:val="bottom"/>
            <w:gridSpan w:val="6"/>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gridSpan w:val="7"/>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40" w:type="dxa"/>
            <w:vAlign w:val="bottom"/>
            <w:gridSpan w:val="34"/>
          </w:tcPr>
          <w:p>
            <w:pPr>
              <w:ind w:left="17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54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NANO NUCLEAR ENERGY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For the Six</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For the Six</w:t>
            </w: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r>
      <w:tr>
        <w:trPr>
          <w:trHeight w:val="238"/>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(15,696,445)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(24,422,083)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4,753,827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16,476,053</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168,059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133,614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452,774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39,517</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contingent liability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(904,000)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602,500</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revaluation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179,870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income on short-term investments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(306,952)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accounts receivable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(152,515)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(599,517)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161,725</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(284,000)</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3,036,366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1,774,018</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(193,159)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(107,323)</w:t>
            </w:r>
          </w:p>
        </w:tc>
      </w:tr>
      <w:tr>
        <w:trPr>
          <w:trHeight w:val="209"/>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(9,254,201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(5,620,979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(370,690,337)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(8,760,211)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(3,625,846)</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(1,050,000)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(9,075,045)</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(380,500,548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(12,700,891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common stock issuances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400,000,033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101,400,012</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(21,520,711)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(9,058,856)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2,473,548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14,387,408</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3,314,998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1,636,500</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384,182,368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108,365,064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(5,572,381)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90,043,194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203,265,052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28,507,257</w:t>
            </w: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197,675,624</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118,550,451</w:t>
            </w:r>
          </w:p>
        </w:tc>
        <w:tc>
          <w:tcPr>
            <w:tcW w:w="100" w:type="dxa"/>
            <w:vAlign w:val="bottom"/>
            <w:tcBorders>
              <w:bottom w:val="single" w:sz="8" w:color="CCEEFF"/>
            </w:tcBorders>
          </w:tcPr>
          <w:p>
            <w:pPr>
              <w:spacing w:after="0"/>
              <w:rPr>
                <w:sz w:val="22"/>
                <w:szCs w:val="22"/>
                <w:color w:val="auto"/>
              </w:rPr>
            </w:pPr>
          </w:p>
        </w:tc>
      </w:tr>
      <w:tr>
        <w:trPr>
          <w:trHeight w:val="197"/>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Inception of Right-of-Use Asset / Liability</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1,026,348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and franchise taxes</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595,746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56,717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 AND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NANO Nuclear Energy Inc. (“NANO”, the “Company”, “we”, “us”, “our” and similar terminology) was incorporated under the laws of the State of Nevada on February 8, 2022 (“Inception”) and is headquartered in New York, New York. The Company is a nuclear energy and technology company, developing smaller, simpler, and safer advanced reactors utilizing proprietary microreactor designs, intellectual property and research methods.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the goal of vertical integration across key aspects of the nuclear fuel supply chain, the Company is principally focused on the following four business lines as part of its development strategy :</w:t>
      </w:r>
    </w:p>
    <w:p>
      <w:pPr>
        <w:spacing w:after="0" w:line="158" w:lineRule="exact"/>
        <w:rPr>
          <w:sz w:val="20"/>
          <w:szCs w:val="20"/>
          <w:color w:val="auto"/>
        </w:rPr>
      </w:pPr>
    </w:p>
    <w:p>
      <w:pPr>
        <w:jc w:val="both"/>
        <w:ind w:left="660" w:hanging="328"/>
        <w:spacing w:after="0" w:line="24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Nuclear Reactor Business</w:t>
      </w:r>
      <w:r>
        <w:rPr>
          <w:rFonts w:ascii="Times New Roman" w:cs="Times New Roman" w:eastAsia="Times New Roman" w:hAnsi="Times New Roman"/>
          <w:sz w:val="18"/>
          <w:szCs w:val="18"/>
          <w:color w:val="auto"/>
        </w:rPr>
        <w:t>. The Company is developing the next generation of advanced nuclear microreactors, with its current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allocation of time and capital resources directed toward the development of the KRONOS MMR™ Energy System. This high technology readiness (“TRL”) level, high-temperature gas-cooled reactor (“HTGR”), Tristructural-Isotropic (“TRISO”) fueled reactor is designed for both small- and large-scale operations, optimizing between size and output to allow for modularity and easier mass manufacturing, and efficient scalable energy generation. On April 2, 2026, the Company announced the formal submission of the Construction Permit Application by The Grainger College of Engineering at The University of Illinois at Urbana- Champaign (“UIUC”), the Company’s partner for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deployment, to the U.S. Nuclear Regulatory Commission (“NRC”). The Company’s KRONOS MMR™ reactor at UIUC is being developed as a research microreactor for demonstration, testing, and research purposes. The Company also intends, subject to applicable approvals and arrangements, to supply power generated by the KRONOS MMR™ reactor to the UIUC grid. The reactor is expected to be a full-scale system – analogous to the commercial KRONOS MMR™ reactor the Company intends to sell and deploy after receiving an operating license. The UIUC project will also serve as the reactor which the NRC will be evaluating as part of its licensing process for the entire system under the Part 50 licensing rules and regulations.</w:t>
      </w:r>
    </w:p>
    <w:p>
      <w:pPr>
        <w:spacing w:after="0" w:line="198"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portfolio of reactors also includes the LOKI MMR™ reactor, a portable nuclear reactor designed for versatility in application and deployment, which is also a HTGR utilizing TRISO fuel, and ZEUS™ reactor, a portable modular solid core battery reactor.</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Supply Chain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its subsidiary, HALEU Energy Fuel Inc., and in coordination with the Department of Energy (“DOE”),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also seeking to develop a low-enriched uranium (“LEU”) and high-assay low-enriched uranium (“HALEU”) fuel supply chain to supply fuel not only for its own reactors but also to the broader advanced nuclear reactor industry. In December 2024, the Company announced that LIS Technologies Inc., a related party through common ownership and management (“LIST”) (see Note 9), and the Company, were selected by the DOE to participate as one of six contract awardees in the DOE’s LEU Enrichment Acquisition Program. Under the contract awarded to LIST, LIST was selected as the prime contractor, with the Company as the key subcontractor bringing the Company’s technical and regulatory expertise in advanced nuclear solutions to the collaboration (see Note 9 for further information). The Company is also evaluating ways to participate in other key aspects of the nuclear fuel supply chain in areas such as conversion through commercial agreements or acquisitions to achieve its goal of vertical integration across key aspects of the nuclear fuel cycle.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Transportation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its subsidiary, Advanced Fuel Transportation Inc., the Company is developing a high-capacity HALEU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transportation product, capable of moving commercial quantities of HALEU fuel, which is expected to be integrated into its fuel transportation business. The Company’s transportation business will build on existing work completed at the Idaho National Laboratory (“INL”), Oak Ridge National Laboratory (“ORNL”) and Pacific Northwest National Laboratory (“PNNL”), the world’s premier U.S.-backed nuclear research facilities. The Company is actively evaluating the potential acquisition of an existing, revenue-generating business focused on the transportation of nuclear fuel and nuclear waste that could provide internal and external capabilities to support future nuclear fuel logistics requirements for the Company and third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 AND BASIS OF PRESENTATION (Continued)</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Consultation and Technical Services. </w:t>
      </w:r>
      <w:r>
        <w:rPr>
          <w:rFonts w:ascii="Times New Roman" w:cs="Times New Roman" w:eastAsia="Times New Roman" w:hAnsi="Times New Roman"/>
          <w:sz w:val="18"/>
          <w:szCs w:val="18"/>
          <w:color w:val="auto"/>
        </w:rPr>
        <w:t>The Company also sees an opportunity to provide nuclear technical support and consultation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for the resurgent and expanding nuclear energy industry in the future, primarily by acquiring businesses whose technical expertise will provide internal capabilities necessary to support the Company in developing and deploying its reactors or advancing its fuel supply chain business. Regulatory approval is not required to provide such services. As of the date of this Report, the Company has not yet formally launched its nuclear consultation business, although the Company generated a small amount of revenue from providing such services in its 2025 fiscal year. The timing and formal launch of this business, should the Company elect to proceed, will depend on the Company’s ability to identify and complete its evaluation of potential acquisition targets and to consummate one or more such acquisitions, as well as the satisfaction of applicable conditions.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wholly owned legal subsidiaries, American Uranium Inc., HALEU Energy Fuel Inc., Advanced Fuel Transportation Inc., Nano Nuclear Space Inc., KRONOS MMR Inc., LOKI MMR Inc., and True North Nuclear Ltd. Each of these subsidiaries is a Nevada corporation except for True North Nuclear Ltd., which is a Canadian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“Common Stock” refers to the common stock, $0.0001 par value per share,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on a going concern basis, which assumes the realization of assets and settlement of liabilities in the normal course of business. At March 31, 2026, the Company had working capital of $565,725,580 and accumulated deficit of $73,197,302. For the six months ended March 31, 2026, the Company had net loss of $15,696,445, and negative cash flows from operations of $9,254,201. At September 30, 2025, the Company had working capital of $200,841,189 and accumulated deficit of $57,500,857. For the year ended September 30, 2025, the Company had net loss of $40,067,076, and negative cash flows from operations of $19,621,963. The ability of the Company to continue as a going concern is dependent on the Company’s ability to secure financing from capital markets or other sources, including investors, loans, government grants or alternative funding and, ultimately, on the Company’s ability to generate revenue and profitable operations. Management is of the opinion that sufficient working capital is available to meet the Company’s liabilities and commitments as they become due at least for the next twelve months after the date the unaudited condensed consolidated financial statements are issued to conform to the going concern uncertainty period. During the six months ended March 31, 2026, the Company received approximately $2.5 million from exercises of warrants, $3.3 million from exercises of stock options, and net proceeds of approximately $378 million from the Company’s private placement offering, net of offering costs. In order to achieve the Company’s long-term strategy, the Company expects to raise additional capital or secure other sources of financing to support its growth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reporting and the rules and regulations of the Securities and Exchange Commission (“SEC”). References to ASC and ASU included herein refer to the Accounting Standards Codification and Accounting Standards Update established by the Financial Accounting Standards Board (“FASB”) as the source of authoritative U.S. GAAP. All intercompany balances and transactions have been eliminated in consolidation.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management’s opinion, the unaudited condensed consolidated financial statements have been prepared on the same basis as the Company’s annual audited consolidated financial statements. They included all adjustments, consisting of only normal recurring adjustments, necessary for the fair statement of the Company’s financial position as of March 31, 2026, and its results of operations for the three and six months ended March 31, 2026 and 2025 and cash flows for the six months ended March 31, 2026 and 2025. The results for the three and six months ended March 31, 2026 are not necessarily indicative of the results expected for the year or any other periods. The condensed consolidated balance sheet as of September 30, 2025 has been derived from the Company’s audited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time of purchase to be cash equivalents. Cash equivalents are stated at cost, which approximates market value, because of the short maturity of these instruments. As of March 31, 2026, cash and cash equivalents included $132.2 million of U.S. Treasury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primarily of U.S. Treasury securities with original maturities greater than three months but less than one year at the time of purchase. Management has the positive intent and ability to hold these securities to maturity; accordingly, they are classified as held-to-maturity and are stated at amortized cost. Because these securities are explicitly guaranteed by the U.S. Government, the Company considers the risk of default to be negligible and records no allowance for credit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certain estimates, judgments and assumptions. The Company believes that the estimates, judgments and assumptions made when accounting for items and matters such as, but not limited to, equity-based compensation, right-of-use assets and lease liabilities, and contingencies are reasonable, based on information available at the time they are made. These estimates, judgments and assumptions can affect the reported amounts of assets and liabilities as of the date of the unaudited condensed consolidated financial statements, as well as amounts reported on the unaudited condensed consolidated statements of operations during the periods presented.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Fair value is a market-based measurement that should be determined based on assumptions that market participants would use in pricing an asset or liability. As a basis for considering such assumptions, the Company uses a three-level hierarchy, which prioritizes fair value measurements based on the types of inputs used for the various valuation techniques (market approach, income approach and cost approach). The levels of hierarchy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in its entirety requires judgment and considers factors specific to the asset or liability. Financial assets and liabilities are classified in their entirety based on the most stringent level of input that is significant to the fair value measurement. The carrying amount of certain financial instruments, including prepaid expenses, short-term investments, marketable securities and accounts payable, approximates fair value due to their short maturities.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The Company maintains its cash balances at a financial institution and such amounts exceeded federally insured limits at March 31, 2026 and September 30, 2025. Any loss incurred or a lack of access to such funds could have a significant adverse impact on the Company’s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include commercial accounts receivable associated with other income corresponding to consulting services provided by the Company. Accounts receivable are presented net of allowance for credit losses. Management estimates an allowance for credit losses by evaluating client-specific conditions, including adverse situations that may affect a client’s ability to pay, as well as both microeconomic and macroeconomic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primarily relate to payments made to consultants and vendors in advance of the service being provided.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measured at cost less accumulated depreciation and impairment charges. When components of an item of property, plant and equipment have different useful lives, they are accounted for as separate items of property, plant and equipment and depreciated separately. Gains and losses on disposal of an item of property, plant and equipment are determined by comparing the proceeds from disposal with the carrying amount of property, plant and equipment and are recognized in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In-process research and development (“IPR&amp;D”) represents incomplete research and development projects that had not reached technological feasibility as of their acquisition date in 2025. Due to the nature of IPR&amp;D, the expected life is indefinite, and it will be evaluated periodically for attainment of technological feasibility or impairment. Technological feasibility is established when an enterprise has completed all planning, designing, coding and testing activities that are necessary to establish that a product can be produced to meet its design specifications including functions, features and technical performance requirements. IPR&amp;D is amortized over its estimated useful life once technological feasibility is reached. As the Company has not yet completed all designing, coding and testing activities, management has determined that technological feasibility has not yet been reached. Management has not identified any indicators that would suggest any impairment of the IPR&amp;D. If IPR&amp;D is determined not to have technological feasibility or is abandoned, it will be impaired or written off at such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calculated over the depreciable amount, which is the cost of the asset less its residual value. Depreciation methods, useful lives and residual values are reviewed at each reporting period and are adjusted if appropriate. Assets are depreciated according to the straight-line method based on estimated useful lives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NANO NUCLEAR ENERGY INC. AND SUBSIDIARIES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depreciated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life or the remaining term of the associated lease.</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 As of March 31, 2026 and September 30, 2025, the Company had two long-term operating leases.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Long-term leases (leases with initial terms greater than 12 months) are capitalized at the present value of the minimum lease payments not yet paid. The Company uses its incremental borrowing rate to determine the present value of the lease when the rate implicit in the lease is not readily determinable. Short-term leases (leases with an initial term of 12 months or less or leases that are cancelable by the lessee and lessor without significant penalties) are not capitalized but are expensed on a straight-line basis over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the private placement in accordance with the guidance contained in FASB ASC Topic 815, “Derivatives and Hedging”. Accordingly, the Company evaluated and classified the warrant instruments under equity treatment at their assigned values.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investments in equity that are within the scope of ASC 321-10, “Investments - Equity Securities” (“ASC 321-10”), as either (1) investments with a readily determinable fair value, which are recorded at fair value or (2) investments without a readily determinable fair value, which are recorded at cost less any impairment. Equity investments that are initially concluded to not have a readily determinable fair value are reassessed at each reporting period. If the Company identifies observable price changes in orderly transactions for the identical or a similar investment of the same issuer, it measures the equity security at fair value as of the date that the observable transaction occurred using valuation techniques that are permitted under ASC 820, “Fair Value Measurement”.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September 30, 2025, the Company had investments in equity of $2.0 million, representing the Company’s equity investment in LIST (see Note 9). The equity investments were accounted for in accordance with ASC 321-10, and the Company accounted for the equity investments at cost less impairment because there were no readily determinable fair values for these investments as of March 31, 2026. No impairment was recorded during the period ended March 31, 2026. The investments were recognized as other assets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Equity-based compensation for employees and non-employees is measured using a fair value-based method for all equity-based awards. The Company recognizes equity-based compensation costs on a straight-line basis over the requisite service period of the award, which is generally the option vesting term. Vesting terms vary based on the individual grant terms. The Company estimates the fair value of an equity-based award using a closed option valuation (Black-Scholes) pricing model. Equity-based compensation is recorded as either a general and administrative expense or a research and development expense in the unaudited condensed consolidated statements of operations. The Company has elected to account for forfeitures of stock-based awards as they occur.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Black-Scholes pricing model requires the input of certain assumptions that require the Company’s judgment, including the expected term and the expected stock price volatility of the underlying stock. The assumptions used in calculating the fair value of stock-based compensation represent management’s best estimates, but these estimates involve inherent uncertainties and the application of judgment. As a result, if factors change resulting in the use of different assumptions, stock-based compensation expense could be materially different in the future.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assumptions utilized in the Black-Scholes price model are as follows: (1) fair market value of stock price on date of grant; (2) the volatility of its underlying stock; which is estimated using a weighted average of the Company’s historical volatility, since it began trading, and the historical volatility of a group of comparable publicly traded companies due to the Company’s lack of trading history over the expected term; (3) expected dividend yield is zero as the Company does not anticipate paying any recurring cash dividends in the foreseeable future; (4) risk-free rate based on the United States Treasury yield curve in effect at the time of the grant for the period of the expected term; (5) expected term estimated based on the vesting and contractual term of the stock option grant.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expenses represent costs incurred for designing and engineering products. These costs primarily consist of personnel-related expenses, fees paid to external consultants and contractors, costs associated with developing design tools, and costs incurred to acquire technology and other assets from third parties. All research and development costs related to product development are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costs are expensed as incurred and are recognized as a component of general and administrative expenses on the unaudited condensed consolidated statements of operations and other comprehensive loss. Advertising costs expensed were approximately $31,500 and $105,000 for the three and six months ended March 31, 2026, respectively, and approximately $136,000 and $230,000 for the three and six months ended March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previously involved in two stockholder-initiated legal proceedings. One of such proceedings was dismissed with prejudice in February 2026. The other proceeding was dismissed at the trial court level in February 2026 but remains subject to appeal. Given the status of the remaining legal proceeding, the Company cannot reasonably estimate at March 31, 2026 the amount of any potential financial loss or cost that could result from this proceeding. The Company records liabilities for losses from legal proceedings when it determines that it is probable that the outcome in a legal proceeding will be unfavorable, and the amount of loss can be reasonably estimated.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when it is “more likely than not” that deferred tax assets will not be realized. On a regular basis, the Company evaluates the recoverability of deferred tax assets and the need for a valuation allowance. Such evaluations involve the application of significant judgment. The Company considers multiple factors in its evaluation of the need for a valuation allowance.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the U.S. federal government enacted tax legislation referred to as the One Big Beautiful Bill Act (“OBBBA”). The OBBBA, among other things, makes permanent 100% bonus depreciation for certain capital expenditures and immediate deduction for domestic research or experimental expenditures (R&amp;D deduction). This legislation was effective for the Company’s consolidated financial statements for the year ended September 30, 2025, except for the R&amp;D deduction which will be effective for the Company’s fiscal year 2026. The enactment of the OBBBA did not have a material impact on the Company’s consolidated financial statements for the year ended September 30, 2025. The Company is currently assessing the impact of the OBBBA on future periods.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an appropriate level of profitability is attained, the Company expects to maintain a full valuation allowance on its deferred tax assets. Any tax benefits or tax expense recorded on its condensed consolidated statements of operations will be offset with a corresponding valuation allowance until such time that the Company changes its determination related to the realization of deferred tax assets. In the event that the Company changes its determination as to the amount of deferred tax assets that can be realized, the Company will adjust its valuation allowance with a corresponding impact to the provision for income taxes in the period in which such a determination is made. For uncertain tax positions that meet a “more-likely-than-not” threshold, the Company recognizes the benefit of uncertain tax positions in the condensed consolidated financial statements. The Company’s practice is to recognize interest and penalties, if any, related to uncertain tax positions in income tax expense in the condensed consolidated statements of operations. All of the Company’s historical tax returns remain subject to examination by taxing jurisdictions. At March 31, 2026 and September 30, 2025, the Company does not believe it has any uncertain tax positions that would require either recognition or disclosure in the accompanying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attributable to common shareholders is computed by dividing reported net income (loss) attributable to common shareholders by the weighted-average number of shares of Common Stock outstanding during the reporting period. Diluted earnings per share attributable to common shareholders is computed by dividing reported net income (loss) attributable to common shareholders by the sum of the weighted-average number of shares of Common Stock and the number of dilutive potential common share equivalents outstanding during the period. Potential dilutive common share equivalents consist of the incremental shares of Common Stock issuable upon the exercise of share options, warrants, and RSUs and the incremental shares issuable upon conversion of similar instruments.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computing diluted earnings per share, common share equivalents are not considered in periods in which a net loss is reported, as the inclusion of the common share equivalents would be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are as follows as of March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5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1,984,000</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4,064,300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3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2,985,650</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3,477,612</w:t>
            </w:r>
          </w:p>
        </w:tc>
        <w:tc>
          <w:tcPr>
            <w:tcW w:w="2260" w:type="dxa"/>
            <w:vAlign w:val="bottom"/>
          </w:tcPr>
          <w:p>
            <w:pPr>
              <w:spacing w:after="0"/>
              <w:rPr>
                <w:sz w:val="18"/>
                <w:szCs w:val="18"/>
                <w:color w:val="auto"/>
              </w:rPr>
            </w:pPr>
          </w:p>
        </w:tc>
      </w:tr>
      <w:tr>
        <w:trPr>
          <w:trHeight w:val="23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3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757,014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spacing w:after="0"/>
              <w:rPr>
                <w:sz w:val="19"/>
                <w:szCs w:val="19"/>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excluded</w:t>
            </w:r>
          </w:p>
        </w:tc>
        <w:tc>
          <w:tcPr>
            <w:tcW w:w="20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5,726,664</w:t>
            </w:r>
          </w:p>
        </w:tc>
        <w:tc>
          <w:tcPr>
            <w:tcW w:w="2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7,541,912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3"/>
        </w:trPr>
        <w:tc>
          <w:tcPr>
            <w:tcW w:w="35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March 31, 2026 and 2025, the Company was managed as a single operating segment in accordance with the provisions in the FASB guidance on segment reporting, which establishes standards for, and requires disclosure of, certain financial information related to reportable operating segments and geographic regions. Furthermore, the Company determined that the Company’s Chief Executive Officer is the Chief Operating Decision Maker as he is responsible for making decisions regarding the allocation of resources and assessing performance as well as for strategic operational decisions and managing the organization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In November 2024, the FASB issued ASU 2024-03, “Income Statement-Reporting Comprehensive Income-Expense Disaggregation Disclosures”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other accounting pronouncements which have been issued but are not yet effective that would have a material impact on the Company’s condensed consolidated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2023-09”). ASU 2023-09 requires that an entity, on an annual basis, disclose additional income tax information, primarily related to the rate reconciliation and income taxes paid. The amendments in the ASU is intended to enhance the transparency and decision usefulness of income tax disclosures. The ASU’s amendments are effective for annual periods beginning after December 15, 2024. The Company adopted this standard effective October 1, 2025. As the ASU requires disclosures on an annual basis, the Company will include the updated disclosures in its annual consolidated financial statements for the fiscal year ending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classifies U.S. Treasury obligations with original maturities in excess of three months and less than one year at acquisition as held-to-maturity. The Company does not purchase and hold securities principally for the purpose of selling them in the near future, and it is not more likely than not that the Company will be required to sell the investments before recovery of their amortized cost bases. At March 31, 2026, the Company recorded “Short-term investments” on the Condensed Consolidated Balance Sheets at amortized cost of $370,997,289. At March 31, 2026, the short-term investments had a fair value of $370,709,590 and are considered Level 1 investments. The Company held no short-term investments at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costs and estimated fair values of the short-term investment portfolio were as follows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8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Treasury obligations</w:t>
            </w: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370,997,289</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370,997,289</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(287,699)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370,709,590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OTHER INCOME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March 31, 2026, the Company earned interest income of $4,928,105 and $9,848,812, respectively, on its cash and cash equivalents held at financial institutions, earned $nil and $71,850, respectively, from consulting services, and earned $21,000 and $42,000, respectively, from a lease agreement (see Note 9). During the three and six months ended March 31, 2025, the Company earned interest income of $1,158,251 and $1,947,631, respectively, on its cash held at a financial institution and earned $21,000 and $42,000, respectively, from a lease agreement with a related party (see Note 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275,000,000 shares of Common Stock and 25,000,000 shares of preferred stock, with a par value of $0.0001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preferred stock were outstanding during the periods presented. Holders of Common Stock are entitled to one vote per share.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7, 2024, the Company consummated a firm commitment underwritten initial public offering (the “IPO Offering”) of an aggregate of 2,562,500 shares of Common Stock at a price of $4.00 per share (the “IPO Offering Price”), generating gross proceeds of $10,250,000, and net proceeds (after deducting discounts and offering expenses) of approximately $9.0 million. In connection with the IPO Offering, the Company granted the lead managing underwriter an option (the “IPO Over-Allotment Option”), exercisable for 30 days from May 7, 2024, to purchase up to an additional 384,375 shares of Common Stock (the “IPO Over-allotment Shares”) from the Company at the Offering Price, less the underwriting discount, to cover over-allotments in the Offering.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2024, the underwriter exercised the IPO Over-Allotment Option in full, and on May 22, 2024, the closing of the purchase of the IPO Over-Allotment Shares occurred, generating gross proceeds to the Company of $1,537,500 and net proceeds of approximately $1.4 million. In connection with the IPO Offering, the Company also issued such lead managing underwriter 179,375 warrants exercisable for 179,375 shares of Common Stock at an exercise price per share of $5.00 with expiry on May 10, 2029. In connection with the IPO Offering and IPO Over-Allotment Option, the Company charged issuance costs of $1,538,405 to additional paid-in capital during the year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2024 Firm Commitment Public Offering</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15, 2024, the Company consummated a firm commitment underwritten follow-on public offering (the “July 2024 Follow-on Offering”) of an aggregate of 900,000 units, consisting of an aggregate of 900,000 shares of Common Stock and 900,000 warrants to purchase up to 450,000 shares of Common Stock (the “July 2024 Follow-on Warrants”) based on an offering price of $20.00 per unit (the “July 2024 Follow-on Offering Price”), generating gross proceeds of $18 million, and net proceeds (after deducting discounts and offering expenses) of approximately $16.1 million. In connection with the July 2024 Follow-on Offering, the Company granted the lead managing underwriter an option (“July 2024 Follow-on Over-allotment Option”), exercisable for 30 days from July 15, 2024, to purchase up to an additional 135,000 shares of Common Stock (the “July 2024 Follow-on Over-allotment Shares”) and 135,0000 Warrants to purchase 67,500 shares of Common Stock (the “July 2024 Follow-on Over-allotment Warrants”) from the Company at the July 2024 Follow-on Offering Price, less underwriting discounts and other July 2024 Follow-on Offering expenses, to cover over-allotments in the July 2024 Follow-on Offering. On July 12, 2024, the underwriter exercised the July 2024 Follow-on Over-allotment Option in full with respect to the July 2024 Follow-on Over-allotment Warrants, which closed on July 15, 2024 for nominal consideration.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16, 2024, the underwriter exercised the July 2024 Follow-on Over-allotment Option in full, and on July 18, 2024, the closing of the purchase of the July 2024 Follow-on Over-Allotment Shares occurred, generating gross proceeds to the Company of approximately $2.7 million and net proceeds of approximately $2.5 million. In connection with the July 2024 Follow-on Offering, the Company also issued such lead managing underwriter 63,000 warrants exercisable for 63,000 shares of Common Stock at an exercise price per share of $25.00 with expiry on July 15, 2029. In connection with the July 2024 Follow-on Offering and July 2024 Follow-on Over-allotment Option, the Company charged issuance costs of $2,091,424 to additional paid-in capital during the year ended September 30,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2024 Firm Commitment Public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October 23, 2024, the Company consummated a firm commitment underwritten follow-on public offering (the “October 2024 Follow-on Offering”) of an aggregate of 2,117,646 units, consisting of an aggregate of 2,117,646 shares of Common Stock and 2,117,646 warrants to purchase up to 1,058,823 shares of Common Stock (the “October 2024 Follow-on Warrants”) based on an offering price of $17.00 per unit (the “October 2024 Follow-on Offering Price”), generating gross proceeds of approximately $36 million, and net proceeds (after deducting discounts and offering expenses) of approximately $32.3 million. In connection with the October 2024 Follow-on Offering, the Company granted the lead managing underwriter an option (“October 2024 Follow-on Over-allotment Option”), exercisable for 30 days from October 25, 2024, to purchase up to an additional 317,646 shares of Common Stock (the “October 2024 Follow-on Over-allotment Shares”) and 317,646 warrants to purchase 158,823 shares of Common Stock (the “October 2024 Follow-on Over-allotment Warrants”) from the Company at the October 2024 Follow-on Offering Price, less underwriting discounts and other October 2024 Follow-on Offering expenses, to cover over-allotments in the October 2024 Follow-on Offering. On October 23, 2024, the underwriter partially exercised the October 2024 Follow-on Over-allotment Option for the October 2024 Follow-on Over-allotment Warrants (which option closed on October 25, 2024 for nominal consideration). On October 28, 2024, the lead underwriter exercised the October 2024 Follow-on Over-allotment Option in full with respect to the October 2024 Follow-on Over-allotment Shares, and on October 29, 2024, the closing of the purchase of the October 2024 Follow-on Over-Allotment Shares occurred, generating gross proceeds to the Company of approximately $5.4 million and net proceeds of approximately $4.9 million. In connection with the October 2024 Follow-on Offering, the Company issued such lead managing underwriter 105,882 warrants exercisable for 105,882 shares of Common Stock at an exercise price per share of $21.25 with expiry on October 29, 2029. In connection with the October 2024 Follow-on Over-allotment Option, the Company also issued such lead managing underwriter 15,882 warrants exercisable for 15,882 shares of Common Stock at an exercise price per share of $21.25 with expiry on October 29, 2029.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2024 Private Placement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24, 2024, the Company, entered into a securities purchase agreement (the “November 2024 SPA”) with three accredited institutional investors (the “Investors”), pursuant to which the Company agreed to offer and sell an aggregate of $60,000,048 of securities of the Company in a private placement (the “November 2024 Private Placement”), consisting of (i) 2,500,002 shares (“PIPE Shares”) of Common Stock and (ii) warrants to purchase up to 2,500,002 shares of Common Stock (the “PIPE Warrants”). The November 2024 Private Placement closed on November 27, 2024. After deducting the placement agent fees and estimated offering expenses payable by the Company, the Company received net proceeds of approximately $55,122,000. The Company intends to use these net proceeds for general working capital and general corporate purposes, which could include potential acquisitions of complementary businesses or assets. Pursuant to the November 2024 SPA, the Company issued and sold the PIPE Shares and associated PIPE Warrants at a combined purchase price of $24.00 per share. The PIPE Warrants have a term of five (5) year with an exercise price of $26.00 per share and will be exercisable immediately upon issuance of the PIPE Warrants. On November 24, 2024, in connection with the Private Placement, the Company entered into a registration rights agreement with the Investors (the “Registration Rights Agreement”), pursuant to which the Company agreed to file a registration statement with the SEC covering the resale of the PIPE Shares and the shares of Common Stock issuable upon exercise of the PIPE Warrants by no later than January 15, 2025 (the date of filing, the “Filing Date”), with such registration statement to be effective within 30 days of the Filing Date (if such registration statement is not subject to review by the SEC), or within 60 days after the Filing Date (if such registration statement is subject to limited or full review by the SEC). The Company initially filed a registration statement on Form S-1 covering the resale of these securities on January 14, 2025, which was declared effective by the SEC on January 24, 2025. The Investors are also entitled (subject to certain exceptions) to customary piggyback registration rights during the period in which the registration statement is effective. The Benchmark Company, LLC acted as placement agent for the Private Placement and received a cash fee equal to 6.0% of the gross proceeds received by the Company in the Private Placement, a non-accountable expense allowance equal to 1% of the gross proceeds received by the Company from the Private Placement, and reimbursement of up to $175,000 in legal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Private Placement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26, 2025, the Company, entered into a securities purchase agreement (the “May 2025 SPA”) with six accredited institutional investors (the “May 2025 Investors”), pursuant to which the Company agreed to offer and sell 3,888,889 shares (“May 2025 PIPE Shares”) of Common Stock of the Company in a private placement (the “May 2025 Private Placement”) for gross proceeds of $105,000,003. Pursuant to the May 2025 SPA, the Company issued and sold the May 2025 PIPE Shares in the May 2025 Private Placement at a purchase price of $27.00 per share. The May 2025 Private Placement closed on May 28, 2025. After deducting the placement agent fees and estimated offering expenses payable by the Company, the Company received net proceeds of approximately $99 million. The Company intends to use these net proceeds for research and development, marketing, general working capital and general corporate purposes, which could include potential acquisitions of complementary businesses or assets. The May 2025 SPA includes standard representations, warranties and covenants of the Company and May 2025 Investors, including a restriction on future issuances of the Company’s capital stock or filing a registration statement or any amendment or supplement thereto (subject to certain exceptions) for a period of thirty (30) days following effectiveness of the Company’s May 2025 Resale Registration Statement (as defined below) required by the May 2025 Registration Rights Agreement (as defined below). Also on May 26, 2025, in connection with the May 2025 Private Placement, the Company entered into a registration rights agreement with the Investors (the “May 2025 Registration Rights Agreement”), pursuant to which the Company agreed to file a registration statement with the SEC covering the resale of the May 2025 PIPE Shares (the “May 2025 Resale Registration Statement”) by no later than June 10, 2025 (the date of filing, the “May 2025 Filing Date”), with the May 2025 Resale Registration Statement to be effective within 30 days of the May 2025 Filing Date (if it is not subject to review by the SEC), or within 60 days after the Filing Date (if it is subject to full review by the SEC). The May 2025 Investors are also entitled (subject to certain exceptions) to customary piggyback registration rights during the period in which the May 2025 Resale Registration Statement is effective. The Company initially filed the May 2025 Registration Rights Agreement covering the May 2025 PIPE Shares on June 9, 2025, which was declared effective by the SEC on June 18, 2025. Titan Partners Group LLC, a division of American Capital Partners, LLC, acted as placement agent for the Private Placement (the “May 2025 Placement Agent”) under a placement agency agreement with the Company (“May 2025 Placement Agency Agreement”), pursuant to which it received a cash fee equal to 5.0% of the gross proceeds received by the Company in the Private Placement, and reimbursement of $150,000 in legal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At-The-Market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25, 2025, the Company entered into a Sales Agreement (“2025 ATM Agreement”) with TD Securities (USA) LLC, UBS Securities LLC and Piper Sandler &amp; Co. (each a “Sales Agent” and together, the “Sales Agents”), pursuant to which the Company agrees to issue and sell to or through the Sales Agents, acting as agents and/or principals, shares (the “Placement Shares”) of the Company’s Common Stock having an aggregate offering price of up to $400,000,000 (the “Maximum Amount”) in an “at-the-market” offering program (the “2025 ATM Program”). Pursuant to the 2025 ATM Agreement, the Placement Shares, if offered and sold by the Company, will be offered and sold pursuant to a base prospectus dated March 13, 2026 and a prospectus supplement, dated March 13, 2026 (the “ATM Prospectus”), that form a part of the Company’s shelf registration statement on Form S-3 (“2025 Shelf Registration Statement,” File No.: 333-288982), which was initially filed with the SEC on July 25, 2025, as amended, and was declared effective by the SEC on March 13, 2026. As of the date of this Report, no Placement Shares have been sold under the 2025 ATM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2025 Private Placement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2025, the Company entered into a Securities Purchase Agreement (the “Purchase Agreement”) with six institutional investors (the “Investors”), pursuant to which the Company agreed to offer and sell 8,490,767 shares (“Shares”) of common stock of the Company, par value $0.0001 per share (the “Common Stock”), in a private placement (the “Private Placement”) for gross proceeds of approximately $400,000,000. Pursuant to the Purchase Agreement, the Company issued and sold the Shares in the Private Placement at a purchase price of $47.11 per share. The Private Placement closed on October 10, 2025. After deducting the placement agent fees and estimated offering expenses payable by the Company, the Company received net proceeds of approximately $378,500,000. The Company intends to use these net proceeds to advance development, construction and regulatory licensing activities</w:t>
      </w:r>
    </w:p>
    <w:p>
      <w:pPr>
        <w:spacing w:after="0" w:line="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its lead micro nuclear reactor program,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Energy System, continue development of its other micro reactor projects and other nuclear energy related business lines, pursue potential strategic acquisitions, and for general corporate purposes. Pursuant to the Purchase Agreement, the Company included a resale prospectus in the next amendment to its 2025 Shelf Registration Statement filed with the SEC on July 25, 2025 (File No.: 333-288982) covering the resale of the Shares (the “Resale Registration Statement”) which was amended and filed on October 22, 2025 (the date of filing, the “Filing Date”), and with the Resale Registration Statement, as amended, declared effective by the SEC on March 13, 2026. The Purchase Agreement includes standard representations, warranties and covenants of the Company and Investors, including a restriction on future issuances of the Company’s capital stock or filing a registration statement or any amendment or supplement thereto (subject to certain exceptions) for a period of thirty (30) days following effectiveness of the Resale Registration Statement. Titan Partners Group LLC, a division of American Capital Partners, LLC, acted as placement agent for the Private Placement (the “Placement Agent”) under a placement agency agreement with the Company (“Placement Agency Agreement”), pursuant to which it received a cash fee equal to 5.0% of the gross proceeds received by the Company in the Private Placement, and reimbursement of $200,000 in legal expenses.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2023, and June 7, 2023, the Company adopted two distinct stock option plans which are referred to individually, as the 2023 Stock Option Plan #1 and the 2023 Stock Option Plan #2 (collectively, the “2023 Stock Option Plans”). On April 23, 2025 (the “Effective Date”), the Company’s shareholders approved, and the Company adopted an equity incentive plan (the “2025 Equity Plan”) whereby a total of 4,750,000 shares plus 679,440 shares that were available for issuance under the 2023 Stock Option Plans as of the 2025 Equity Plan’s Effective Date were available for future awards under the 2025 Equity Plan. This amount may increase annually on January 1 each year beginning on January 1, 2026 to January 1, 2035, by an amount equal to the lesser of (i) 5% of the Common Stock outstanding on the last day of the immediately preceding calendar year and (ii) such smaller number of shares of Common Stock as determined by the board of directors (the “Board”) or a committee of the Board. The shares of Common Stock subject to the 2025 Equity Plan may be authorized, but unissued, or reacquired shares. As of March 31, 2026, an aggregate amount of 5,316,300 options have been issued under the 2023 Stock Option Plans and 2025 Equity Plan and 7,163,015 are available for issuance under the 2025 Equity Plan.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grant any stock options during the six months ended March 31, 2026. However, during the six months ended March 31, 2026, 1,695,000 stock options were exercised with exercise prices ranging from $1.50 - $3.00 resulting in approximately $3,315,000 of cash proceeds. During the six months ended March 31, 2025, 638,000 stock options were exercised with exercise prices ranging from $1.50 - $3.00 resulting in $1,636,500 of cash proceeds.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6, 2025, the Company issued 338,000 stock options exercisable at $26.97 per common share with expiry on March 6, 2035, with approximately one-sixth of these options to be vested annually from 2026 to 2031 on March 6. On March 13, 2025, the Company issued 765,000 fully vested stock options exercisable at $28.32 per common share with expiry on March 13, 2035, 55,000 fully vested stock options exercisable at $28.32 per common share with expiry on March 13, 2030, and 5,300 stock options exercisable at $28.32 with expiry on March 13, 2030, to be fully vested on March 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and 2025, total stock-based compensation for stock options expected to vest was $624,257 and $16,476,053. As of March 31, 2026, there is $5,619,564 remaining stock compensation expense to be recognized corresponding to future vesting dates over a weighted average period of 4.92 years which will occur between 2026 and 2031.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cumulative option activity under the 2023 Stock Option Plans and the 2025 Equity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7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38"/>
        </w:trPr>
        <w:tc>
          <w:tcPr>
            <w:tcW w:w="4740" w:type="dxa"/>
            <w:vAlign w:val="bottom"/>
          </w:tcPr>
          <w:p>
            <w:pPr>
              <w:spacing w:after="0"/>
              <w:rPr>
                <w:sz w:val="20"/>
                <w:szCs w:val="20"/>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4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2024</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3,539,000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42,720</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3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(944,000)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(1,695,000)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March 31, 2026</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1,984,000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2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tcBorders>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the end of period</w:t>
            </w: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1,697,000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16.32</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17"/>
                <w:szCs w:val="17"/>
                <w:color w:val="auto"/>
              </w:rPr>
            </w:pPr>
          </w:p>
        </w:tc>
      </w:tr>
      <w:tr>
        <w:trPr>
          <w:trHeight w:val="432"/>
        </w:trPr>
        <w:tc>
          <w:tcPr>
            <w:tcW w:w="47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EQUITY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13, 2025, the Company granted 423,766 RSUs to various consultants and key employees. The aggregate grant-date fair value of the RSUs was $14,280,914 or $33.70 per share based on the market price of our stock on the date of grant. The RSUs vest as follows: 392,694 RSUs vest one-third on the grant-date anniversary over three years; 11,872 RSUs vest on the grant-date anniversary, and 19,200 vest 50% on the six month anniversary of the grant-date with remaining vesting on the grant-date anniversary. As of March 31, 2026, there are 757,014 unvested RSUs with a weighted average grant-date fair value of $30.99.</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we modified an RSU for 20,000 shares of common stock granted on June 3, 2025 to vest 50% on the six-month anniversary of the grant-date with the remaining vesting on the grant-date anniversary which was previously set to vest 100% on the grant-date anniversary.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we recognized stock-based compensation for RSUs expected to vest of $4,129,571. As of March 31, 2026, we have unrecognized compensation of $18,967,857 which will be recognized over a weighted-average period of 2.39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cumulative restricted stock unit activity under the 2025 Equity Plan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RSUs outstanding</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80" w:type="dxa"/>
            <w:vAlign w:val="bottom"/>
          </w:tcPr>
          <w:p>
            <w:pPr>
              <w:spacing w:after="0"/>
              <w:rPr>
                <w:sz w:val="20"/>
                <w:szCs w:val="20"/>
                <w:color w:val="auto"/>
              </w:rPr>
            </w:pPr>
          </w:p>
        </w:tc>
        <w:tc>
          <w:tcPr>
            <w:tcW w:w="2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fair value per share</w:t>
            </w: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2024</w:t>
            </w:r>
          </w:p>
        </w:tc>
        <w:tc>
          <w:tcPr>
            <w:tcW w:w="1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350,748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 September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vested (stock issued)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unvested – March 31, 2026</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Activity</w:t>
            </w: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cumulative warrant activity is as follows: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 Shares outstanding</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4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2024</w:t>
            </w:r>
          </w:p>
        </w:tc>
        <w:tc>
          <w:tcPr>
            <w:tcW w:w="1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817,864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3,717,648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(1,408,193)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 September 30, 2025</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3,127,319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March 31, 2026</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5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187"/>
        </w:trPr>
        <w:tc>
          <w:tcPr>
            <w:tcW w:w="5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Land, buildings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Land, buildings</w:t>
            </w:r>
          </w:p>
        </w:tc>
        <w:tc>
          <w:tcPr>
            <w:tcW w:w="100" w:type="dxa"/>
            <w:vAlign w:val="bottom"/>
          </w:tcPr>
          <w:p>
            <w:pPr>
              <w:spacing w:after="0"/>
              <w:rPr>
                <w:sz w:val="16"/>
                <w:szCs w:val="16"/>
                <w:color w:val="auto"/>
              </w:rPr>
            </w:pPr>
          </w:p>
        </w:tc>
      </w:tr>
      <w:tr>
        <w:trPr>
          <w:trHeight w:val="216"/>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and leasehold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and leasehold</w:t>
            </w:r>
          </w:p>
        </w:tc>
      </w:tr>
      <w:tr>
        <w:trPr>
          <w:trHeight w:val="238"/>
        </w:trPr>
        <w:tc>
          <w:tcPr>
            <w:tcW w:w="5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improvements</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10,149,332</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1,700,000</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land</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892,586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330,000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 building</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4,728,236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4,000,234</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 leasehold improvements</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3,103,000</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Additions – construction in progress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3,139,388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1,016,098</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18,909,542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10,149,332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(365,555)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(10,393)</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building</w:t>
            </w:r>
          </w:p>
        </w:tc>
        <w:tc>
          <w:tcPr>
            <w:tcW w:w="1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(178,924)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(133,975)</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leasehold improvements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(273,849)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(221,187)</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(818,328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18,091,214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9,783,777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purchased a 1.64-acre land package in the historic Heritage Center Industrial Park in Oak Ridge, Tennessee, for $1.7 million. The purchase included a 14,000 sq. ft., 2-story building to house the Company’s Nuclear Technology Branch. Depreciation was $60,272 and $39,516 for the six months ended March 31, 2026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purchased a 2.75-acre land package in Oak Brook, Illinois, for $3.5 million. The purchase included a 23,537 sq. ft. building to serve as a regional demonstration and office facility to support the development of the Company’s KRONOS MMR™ Microreactor Energy System. Depreciation was $79,250 and $nil for the six months ended March 31, 2026 and 2025,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the Company acquired a commercial property covering 11,430 sq. ft. in Manhattan, New York, for $5.6 million to serve as additional office space. The purchase price was allocated between the depreciable office space and the associated non-depreciable fractional interest in the land. Depreciation expense for the property was $39,402 and $nil for the six months ended March 31, 2026 and 2025,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RIGHT-OF-USE ASSETS AND LEASE LIABILITIES</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7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6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2,560,896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1,830,124</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1,026,348</w:t>
            </w:r>
          </w:p>
        </w:tc>
      </w:tr>
      <w:tr>
        <w:trPr>
          <w:trHeight w:val="22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(295,576)</w:t>
            </w:r>
          </w:p>
        </w:tc>
      </w:tr>
      <w:tr>
        <w:trPr>
          <w:trHeight w:val="223"/>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two long-term operating leases corresponding to (1) its corporate headquarters located at 10 Times Square, 30th Floor, New York, New York, and (2) space being used as a technology demonstration facility in Westchester County, New York. Lease components in the Company’s long-term operating leases are accounted for following the guidance in ASC Topic 842, “Leases” (“ASC 842”), for the capitalization of long-term leases. At March 31, 2026, the lease liability was equal to the present value of the remaining lease payments, discounted using a borrowing rate based on similar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the Company’s leases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2,392,837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547,394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534,128</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2,054,989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2,261,414</w:t>
            </w: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provides details of the Company’s lease expense: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8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19"/>
                <w:szCs w:val="19"/>
                <w:color w:val="auto"/>
              </w:rPr>
            </w:pPr>
          </w:p>
        </w:tc>
        <w:tc>
          <w:tcPr>
            <w:tcW w:w="16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156,424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315,118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278,921</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3" w:name="page24"/>
    <w:bookmarkEnd w:id="2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RIGHT-OF-USE ASSETS AND LEASE LIABILITIES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leases is presented below.</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3000" w:type="dxa"/>
            <w:vAlign w:val="bottom"/>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159,558</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319,123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11.7%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5.56</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expected annual minimum lease payments of the Company’s operating lease liabilities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316,388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641,992</w:t>
            </w:r>
          </w:p>
        </w:tc>
        <w:tc>
          <w:tcPr>
            <w:tcW w:w="6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658,041</w:t>
            </w: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674,493</w:t>
            </w:r>
          </w:p>
        </w:tc>
        <w:tc>
          <w:tcPr>
            <w:tcW w:w="60" w:type="dxa"/>
            <w:vAlign w:val="bottom"/>
          </w:tcPr>
          <w:p>
            <w:pPr>
              <w:spacing w:after="0"/>
              <w:rPr>
                <w:sz w:val="18"/>
                <w:szCs w:val="18"/>
                <w:color w:val="auto"/>
              </w:rPr>
            </w:pPr>
          </w:p>
        </w:tc>
      </w:tr>
      <w:tr>
        <w:trPr>
          <w:trHeight w:val="23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1,142,669</w:t>
            </w:r>
          </w:p>
        </w:tc>
        <w:tc>
          <w:tcPr>
            <w:tcW w:w="60" w:type="dxa"/>
            <w:vAlign w:val="bottom"/>
            <w:shd w:val="clear" w:color="auto" w:fill="CCEEFF"/>
          </w:tcPr>
          <w:p>
            <w:pPr>
              <w:spacing w:after="0"/>
              <w:rPr>
                <w:sz w:val="19"/>
                <w:szCs w:val="19"/>
                <w:color w:val="auto"/>
              </w:rPr>
            </w:pPr>
          </w:p>
        </w:tc>
      </w:tr>
      <w:tr>
        <w:trPr>
          <w:trHeight w:val="209"/>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 undiscounted</w:t>
            </w: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3,433,583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 for leases in excess of one year</w:t>
            </w:r>
          </w:p>
        </w:tc>
        <w:tc>
          <w:tcPr>
            <w:tcW w:w="5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(831,200)</w:t>
            </w:r>
          </w:p>
        </w:tc>
      </w:tr>
      <w:tr>
        <w:trPr>
          <w:trHeight w:val="209"/>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2,602,383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5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(547,394)</w:t>
            </w: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 less current portion</w:t>
            </w: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2,054,989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ACQUISITION OF ALIP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21, 2024, the Company acquired a novel annular linear induction pump (“ALIP”) technology used in small nuclear reactor cooling (“ALIP Acquisition”) from noted physicist, research engineer and project manager Carlos O. Maidana, PhD. In connection with the transaction, Dr. Maidana agreed to collaborate with the Company as a consultant on further development of the ALIP technology with a view toward achieving SBIR Phase III Award status.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this transaction, Dr. Maidana assigned to NANO all intellectual property rights associated with the ALIP technology and product, his work on the foregoing grants and the proposal for the SBIR Phase III program. As consideration for the ALIP Acquisition, the Company (i) issued 50,000 shares of Common Stock to Dr. Maidana and (ii) paid Dr. Maidana cash consideration of $50,000. Additionally, the Company agreed to deliver to Dr. Madana an additional (iii) 50,000 shares of Common Stock and (iv) cash consideration of $50,000, contingent upon the successful completion of the SBIR Phase III project prior to specific timetables. The Company anticipated that the completion of the SBIR Phase III project would occur, and therefore had calculated the contingent consideration at the closing price of NANO’s stock on the date of acquisition. The ALIP Acquisition was accounted for as an acquisition of in-process R&amp;D that was fully expensed on the acquisition date as R&amp;D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ACQUISITION OF ALIP TECHNOLOGY (Continued)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ALIP Acquisition was recorded at its fair value as of June 21, 2024. The total purchase price was approximately $1.67 million and was comprised of the following:</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0039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(issued 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Contingent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Contingent Common Stock (fair value at closing)</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1" w:lineRule="exact"/>
        <w:rPr>
          <w:sz w:val="20"/>
          <w:szCs w:val="20"/>
          <w:color w:val="auto"/>
        </w:rPr>
      </w:pPr>
    </w:p>
    <w:p>
      <w:pPr>
        <w:ind w:left="1021" w:hanging="1021"/>
        <w:spacing w:after="0"/>
        <w:tabs>
          <w:tab w:leader="none" w:pos="10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22"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786,500</w:t>
      </w:r>
    </w:p>
    <w:p>
      <w:pPr>
        <w:spacing w:after="0" w:line="20" w:lineRule="exact"/>
        <w:rPr>
          <w:rFonts w:ascii="Times New Roman" w:cs="Times New Roman" w:eastAsia="Times New Roman" w:hAnsi="Times New Roman"/>
          <w:sz w:val="18"/>
          <w:szCs w:val="18"/>
          <w:color w:val="auto"/>
        </w:rPr>
      </w:pPr>
    </w:p>
    <w:p>
      <w:pPr>
        <w:ind w:left="10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w:t>
      </w:r>
    </w:p>
    <w:p>
      <w:pPr>
        <w:spacing w:after="0" w:line="9" w:lineRule="exact"/>
        <w:rPr>
          <w:rFonts w:ascii="Times New Roman" w:cs="Times New Roman" w:eastAsia="Times New Roman" w:hAnsi="Times New Roman"/>
          <w:sz w:val="18"/>
          <w:szCs w:val="18"/>
          <w:color w:val="auto"/>
        </w:rPr>
      </w:pPr>
    </w:p>
    <w:p>
      <w:pPr>
        <w:ind w:left="94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786,500</w:t>
      </w:r>
    </w:p>
    <w:p>
      <w:pPr>
        <w:spacing w:after="0" w:line="43" w:lineRule="exact"/>
        <w:rPr>
          <w:sz w:val="20"/>
          <w:szCs w:val="20"/>
          <w:color w:val="auto"/>
        </w:rPr>
      </w:pPr>
    </w:p>
    <w:p>
      <w:pPr>
        <w:ind w:left="801" w:hanging="801"/>
        <w:spacing w:after="0"/>
        <w:tabs>
          <w:tab w:leader="none" w:pos="8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61"/>
          </w:cols>
          <w:pgMar w:left="320" w:top="657" w:right="339" w:bottom="1440" w:gutter="0" w:footer="0" w:header="0"/>
          <w:type w:val="continuous"/>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the contingent cash and Common Stock obligation were revalued to its fair value of $1,074,000 based on the closing price of the Common Stock on March 31, 2026, which resulted in a revaluation recovery of $176,500 and $904,000 for the three and six months ended March 31, 2026, respectively. At March 31, 2025, the contingent cash and common shares obligation was revalued to its fair value of $1,373,000 based on the closing price of the Common Stock on March 31, 2025, which resulted in a revaluation expense of $78,250 and $602,500 for the three and six months ended March 31,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INVESTMENTS,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the Company invested $2,000,000 as an equity investment into LIS Technologies Inc. (“LIST”) (which is a related party), as part of its $11.88 million seed funding round. This additional capital into LIST was anticipated to help fuel the development of its proprietary, patented advanced laser enrichment technology.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Company’s investment in LIST, the Company entered into an agreement with LIST to collaborate and assist in developing LIST’s technologies to secure a fuel supply for the Company’s future operations and the wider nuclear energy industry. The parties intend that LIST will provide the Company with enriched UF6 at no cost to be fabricated and sold to customers, with LIST to receive compensation as part of a profit-sharing arrangement to be agreed to between the companies in the future. Through collaboration with LIST, the Company anticipates building supportive facilities to compliment LIST’s planned enrichment facility, including those focused on deconversion and conversion.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leased approximately 7,000 square feet of dedicated space within its Oak Ridge, Tennessee, based nuclear technology facility to LIST to enable the next phase of the revitalization of its proprietary laser-based process. The Company leases this space to LIST for $7,000 per month. The lease became effective on September 2, 2024 and has a term ending on September 1, 2034.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relationship with LIST is considered a related party transaction since the Company’s president and director, Jay Jiang Yu, also serves as an officer and director for LIST, and James Walker and Jaisun Garcha serve as consultants to LIST. The Company’s investment in LIST was unanimously approved by all of the Company’s disinterested independent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USNC ASSET ACQUISITION</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December 18, 2024, the Company entered into an asset purchase agreement (as amended, the “USNC Agreement”) with Ultra Safe Nuclear Corporation and certain of its subsidiaries (collectively, “USNC”) to acquire select nuclear energy technology assets (the “USNC Assets”) on an as-is, where-is basis, including USNC’s micro modular nuclear reactor business previously marketed as a MMR® Microreactor Energy System, which the Company has renamed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(“KRONOS Business”), and transportable fission power system technology business previously marketed as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Pylon Transportable Reactor Platform, which the Company has renamed “LOKI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(“LOKI Business”). The acquired assets included certain contracts, intellectual property rights, and a demonstration project, free and clear of any liens other than certain specified liabilities of USNC that were assumed, for a total purchase price of $8.5 million in cash through an auction process (“Auction”) conducted pursuant to Section 363 of the U.S. Bankruptcy Code in connection with USNC’s pending Chapter 11 bankruptcy proceedings. On December 18, 2024, the United States Bankruptcy Court for the District of Delaware, the Bankruptcy Court overseeing USNC’s bankruptcy held a hearing where it approved the sale of the USNC Assets to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25" w:name="page26"/>
    <w:bookmarkEnd w:id="2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USNC ASSET ACQUISITION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10, 2025, the Company closed the acquisition (the “USNC Closing”) of the USNC Assets related to the KRONOS Business and the LOKI Business from USNC. The USNC Assets were acquired free and clear of any liens other than certain specified liabilities of USNC that were assumed, for a total purchase price of $8.5 million in cash through an auction conducted pursuant to Section 363 of the U.S. Bankruptcy Code in connection with USNC’s pending Chapter 11 bankruptcy proceedings. The USNC Assets included (i) five contracts with third-party collaborators, (ii) 38 issued, pending or published patents, 16 registered, pending or published trademarks, and any other technology and intellectual property related to the acquired assets, (iii) rights related to a demonstration project related to the KRONOS MMR™ Energy System in the United States and (iv) the business records of the USNC Assets and related rights. The Company acquired these assets through two new wholly owned subsidiaries incorporated in Nevada.</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USNC Assets also included certain Canadian assets relating to both the KRONOS MMR™ Energy System and certain Canadian intellectual property rights relating to the LOKI MMR™ (the “Canadian Assets”). The Canadian Assets include, among other assets, (i) three contracts with Canadian authorities, including a license application (the “Chalk River License Application”) with the Canadian Nuclear Safety Commission (“CNSC”) associated</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with a KRONOS MMR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reactor demonstration project at Chalk River Laboratories located in Ontario, Canada (the “Chalk River Project”), (ii) the equity interests of a Canadian partnership that was believed at the time to hold the Chalk River License Application (the “Canadian Partnership”), and (iii) rights related to the Chalk River Project. The transfer of the Chalk River License Application and certain other of the Canadian Assets (such assets, the “Consent Assets”) required the consent of certain Canadian governmental entities, including the CNSC (the “Canadian Consents”). The Company established an escrow of $250,000 deposited at the closing securing the Canadian Consents. If the Canadian Consents were not received within 90 days after the closing, the Company had the right to terminate the acquisition of the Consent Assets, receive the return of $250,000 held in escrow and forfeit its rights to the Consent Assets. The Company’s right to acquire the Consent Assets was established pursuant to an option arrangement with the Company’s Chairman and President and his affiliated entities as described below.</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enable the Company’s ability to continue diligence of the Consent Assets to ensure the Company acquired the correct assets and did not assume or become exposed to any unknown liabilities, on the closing date of the USNC Asset acquisition, the Company assigned its rights to acquire the Consent Assets to Jay Jiang Yu, the Company’s founder, President, Secretary and Treasurer, and Chairman of the Board, and certain existing Canadian entities owned or controlled by Mr. Yu (the “Yu Entities”). Accordingly, on January 10, 2025, the Company entered into an option agreement (“Yu Option Agreement”) with Mr. Yu and Yu Entities, pursuant to which the Company received an option back from Mr. Yu and the Yu Entities to acquire for nominal consideration, for a period of five years beginning with the receipt by the Yu Entities of the Consent Assets upon receiving the Canadian Consents, any or all of the equity interests of the Yu Entities or the Canadian Partnership, the other Consent Assets or the material assets and business of the Canadian Partnership. The assignment of the right to acquire the Consent Assets and the Yu Option Agreement were unanimously approved by the Company’s disinterested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NANO NUCLEAR ENERGY INC. AND SUBSIDIARIES NOTES TO CONDENSED CONSOLIDATED FINANCIAL STATEMENTS As of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USNC ASSET ACQUISITION (Continued)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2025, the Company sought the Canadian Consents for the Consent Assets (most notably, the Chalk River License Application). As part of continuing due diligence, the Company learned that a USNC affiliate called Global First Power Ltd. (“GFPL”), and not the Canadian Partnership, was in fact the holder of the Chalk River License Application. Further, the Company was informed by the CNSC that the Chalk River License Application could not be transferred and that only GFPL itself could complete the Chalk River License Application and obtain the license for the Chalk River Project or, alternatively, we or our subsidiaries or designees would need to file a new application with the CNSC. Accordingly, the Company determined that the most efficient course of action for the Company to continue the Chalk River Project would be for the Company to acquire GFPL itself and thereby acquire the Chalk River License Application. As a result, on August 14, 2025, The RPWI Liquidating Trust, a Delaware liquidating trust created pursuant to USNC’s plan of liquidation in bankruptcy, GFPL, the Company and its subsidiary KRONOS MMR Inc. entered into a Purchase Agreement (the “GFPL Purchase Agreement”) pursuant to which KRONOS MMR agreed to purchase all of the equity interests of GFPL and any other assets of GFPL that are specified in the GFPL Purchase Agreement (including the rights to the Chalk River License Application), free and clear of all liens, claims, encumbrances and other interests. The purchase price for GFPL was the Company’s assumption of an approximately CAD $0.65 million liability, which was the amount owed by GFPL to the CNSC for pre-petition bankruptcy claims, plus any other amounts payable to CNSC for the Chalk River License Application which first arise and relate to, or become due and payable in the ordinary course after the closing of such acquisition, plus a $15,000 expense reimbursement allowance. On September 2, 2025, the GFPL Purchase Agreement and the transactions contemplated thereby were approved by the Bankruptcy Court, and on October 16, 2025, such transaction was closed. The Company currently expects to pay the CAD $0.65 million assumed liability using cash on hand later in 2026.</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foregoing, neither the Yu Entities nor the Company acquired the Consent Assets, and given subsequent due diligence and consultations with CNSC during 2025 following our acquisition of the USNC Assets, the Company determined that (i) its acquisition of GFPL provides the Company with all of the rights and assets required from USNC to progress the Chalk River Project, (ii) the Consent Assets subject to the Yu Option Agreement are immaterial and need not be acquired. Accordingly, on March 5, 2026, the Yu Option Agreement was terminated. Moreover, given that the Canadian Consents were not achieved on a timely basis, in mid-December 2025, the Company made a written request for the return of the $250,000 escrow amount and abandoned its right to acquire the Consent Assets. As of the date of this Report, the $250,000 escrow funds have been returned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late October 2025, the Company rebranded GFPL to the name True North Nuclear.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consideration paid at closing for the USNC Assets was $8.5 million in cash. The Company accounted for the transaction as an asset acquisition under ASC 805-50, “Business Combinations – Asset Acquisition”, as the acquired set of assets did not meet the definition of a business. The fair value of the identifiable assets was determined using the Historical Transaction Method under the Market Approach.</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allocation of the consideration transferred is as follows: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7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Value of Consent Assets (subject to Canadian Consents) held in escrow</w:t>
            </w:r>
          </w:p>
        </w:tc>
        <w:tc>
          <w:tcPr>
            <w:tcW w:w="3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Assumed liabilities related to Designated Contracts (excluding Canadian Contracts)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825,045</w:t>
            </w:r>
          </w:p>
        </w:tc>
        <w:tc>
          <w:tcPr>
            <w:tcW w:w="60" w:type="dxa"/>
            <w:vAlign w:val="bottom"/>
            <w:shd w:val="clear" w:color="auto" w:fill="CCEEFF"/>
          </w:tcPr>
          <w:p>
            <w:pPr>
              <w:spacing w:after="0"/>
              <w:rPr>
                <w:sz w:val="19"/>
                <w:szCs w:val="19"/>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Acquired IPR&amp;D Assets</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9,075,045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was attributed to IPR&amp;D assets associated with both the KRONOS Business and the LOKI Business. The acquired IPR&amp;D assets are considered an indefinite-lived intangible asset and will not be amortized until the underlying technologies are placed into service. The Company will test the assets for impairment annually, or more frequently if events or changes in circumstances indicate potential impairment.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or transactions that occurred after March 31, 2026 through the date that the unaudited condensed consolidated financial statements were issued. During this period, there were no material subsequent events requiring disclosure.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of the unaudited financial statements and related notes included elsewhere in this Report. Data as of and for the year ended September 30, 2025 has been derived from our audited consolidated financial statements. Data as of and for the three and six months ended March 31, 2026 and 2025 has been derived from our unaudited condensed consolidated financial statements appearing in this Report.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such as those relating to our plans, objectives, expectations, intentions, and beliefs, which involve significant risks, uncertainties and assumptions. Our actual results could differ materially from those discussed in these forward-looking statements. Factors that could cause or contribute to such differences include, but are not limited to, those identified below and those discussed in the section titled “Cautionary Note Regarding Forward-Looking Statements” in this Report.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 particular, readers should note that in this Report, we provide our current estimated timelines for advancing and commercially launching our business lines, including key assumptions and variables. Based on our management’s experience, expertise and communications with applicable regulators and other stakeholders (such as third-party contractors), we believe we have a sufficient basis to provide reasonable timing estimates for our efforts, and our expectation is that we will meet such timing for our proposed business lines. However, readers are cautioned that our business plans are evolving and remain subject to the completion of ongoing technical, regulatory, and operational preparations, which are inherently uncertain and risky given the nature of our business and may be affected by factors beyond our control. Accordingly, no assurances can be given that we will be able to progress and commercially launch our several business lines as currently anticipated, or that such progress or commercial launches will occur in the timeframes we anticipate, if at all. For further information, please see the “Cautionary Note Regarding Forward-Looking Statements” and the “Risk Factors” section of this Report and in our Annual Report on Form 10-K for the year ended September 30, 2025, which was filed on December 18, 2025.</w:t>
      </w:r>
    </w:p>
    <w:p>
      <w:pPr>
        <w:spacing w:after="0" w:line="18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“we,” “us,” “our” and the “Company” refer to NANO Nuclear Energy Inc., a Nevada corporation and its consolidated subsidiaries unless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nuclear energy and technology company developing smaller, simpler, and safer advanced clean energy solutions, utilizing proprietary reactor designs, intellectual property and research methods to build the sustainable energy solutions of the future. Led by a world class scientific and management team, our business plan involves comprehensive engagement across every sector of the nuclear power and energy industry, traversing the path from sourcing raw materials through to developing cutting edge advanced nuclear microreactors. Our dedication extends further, encompassing ambitions within the commercial nuclear fuel transportation sector, of the nuclear energy fuel supply chain, technology development, and nuclear consulting services.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material revenues. For the three and six months ended March 31, 2026 and the year ended September 30, 2025, our net loss was approximately $9.2 million, $15.7 million and $40.1 million, respectively, and our accumulated deficit was approximately $73.5 million, $73.5 million and $57.5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principally focused on the following four business lines as part of our development strategy:</w:t>
      </w:r>
    </w:p>
    <w:p>
      <w:pPr>
        <w:spacing w:after="0" w:line="221" w:lineRule="exact"/>
        <w:rPr>
          <w:sz w:val="20"/>
          <w:szCs w:val="20"/>
          <w:color w:val="auto"/>
        </w:rPr>
      </w:pPr>
    </w:p>
    <w:p>
      <w:pPr>
        <w:jc w:val="both"/>
        <w:ind w:left="660" w:hanging="328"/>
        <w:spacing w:after="0" w:line="24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Reactor Business. </w:t>
      </w:r>
      <w:r>
        <w:rPr>
          <w:rFonts w:ascii="Times New Roman" w:cs="Times New Roman" w:eastAsia="Times New Roman" w:hAnsi="Times New Roman"/>
          <w:sz w:val="18"/>
          <w:szCs w:val="18"/>
          <w:color w:val="auto"/>
        </w:rPr>
        <w:t>We are developing the next generation of advanced nuclear microreactors, with our current principal allocation of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capital resources directed toward the development of our </w:t>
      </w:r>
      <w:r>
        <w:rPr>
          <w:rFonts w:ascii="Times New Roman" w:cs="Times New Roman" w:eastAsia="Times New Roman" w:hAnsi="Times New Roman"/>
          <w:sz w:val="18"/>
          <w:szCs w:val="18"/>
          <w:b w:val="1"/>
          <w:bCs w:val="1"/>
          <w:color w:val="auto"/>
        </w:rPr>
        <w:t>KRONOS MMR™ Energy System</w:t>
      </w:r>
      <w:r>
        <w:rPr>
          <w:rFonts w:ascii="Times New Roman" w:cs="Times New Roman" w:eastAsia="Times New Roman" w:hAnsi="Times New Roman"/>
          <w:sz w:val="18"/>
          <w:szCs w:val="18"/>
          <w:color w:val="auto"/>
        </w:rPr>
        <w:t>. This high technology readiness level (or TRL), high-temperature gas-cooled reactor (or HTGR), Tristructural-Isotropic (or TRISO) fueled is designed for both small- and large-scale operations, optimizing between size and output to allow for modularity and easier mass manufacturing, and efficient scalable energy generation. Our company, in collaboration with the University of Illinois at Urbana-Champaign (“UIUC”), will construct, obtain regulatory approval for, and deploy a KRONOS MMR™ research and test reactor on the UIUC campus. On April 2, 2026, we issued a press release announcing the formal submission of the Construction Permit Application by The Grainger College of Engineering at the UIUC, our partner for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deployment, to the NRC. Our KRONOS MMR™ reactor at UIUC is being developed as a research microreactor intended primarily for demonstration, testing, and research purposes. We also intend, subject to applicable approvals and arrangements, to supply power generated by the KRONOS MMR™ reactor to the UIUC grid. The reactor is expected to be a full-scale system – analogous to the commercial KRONOS MMR™ reactor we intend to sell and deploy after receiving an operating license. The UIUC project will also serve as the reactor which the NRC will be evaluating as part of its licensing process for the entire system under the Part 50 licensing rules and regulations. Subject to the NRC review timeline, completion of required safety and environmental reviews, construction activities, and successful commissioning, we expect the KRONOS MMR™ to achieve initial operation or research availability around 2030. The KRONOS MMR™ reactor is currently under development and is subject to applicable licensing processes required for its potential commercialization as a power-producing product. Until the reactor is fully developed and required approvals are obtained, our development activities are focused on technology demonstration, fuel qualification, and design validation.</w:t>
      </w:r>
    </w:p>
    <w:p>
      <w:pPr>
        <w:spacing w:after="0" w:line="192"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portfolio of reactors also includes the </w:t>
      </w:r>
      <w:r>
        <w:rPr>
          <w:rFonts w:ascii="Times New Roman" w:cs="Times New Roman" w:eastAsia="Times New Roman" w:hAnsi="Times New Roman"/>
          <w:sz w:val="18"/>
          <w:szCs w:val="18"/>
          <w:b w:val="1"/>
          <w:bCs w:val="1"/>
          <w:color w:val="auto"/>
        </w:rPr>
        <w:t>LOKI MMR™</w:t>
      </w:r>
      <w:r>
        <w:rPr>
          <w:rFonts w:ascii="Times New Roman" w:cs="Times New Roman" w:eastAsia="Times New Roman" w:hAnsi="Times New Roman"/>
          <w:sz w:val="18"/>
          <w:szCs w:val="18"/>
          <w:color w:val="auto"/>
        </w:rPr>
        <w:t xml:space="preserve"> reactor, a portable nuclear reactor designed for versatility in application and deployment, and particularly utilized for space applications, which is also a HTGR utilizing TRISO fuel, and </w:t>
      </w:r>
      <w:r>
        <w:rPr>
          <w:rFonts w:ascii="Times New Roman" w:cs="Times New Roman" w:eastAsia="Times New Roman" w:hAnsi="Times New Roman"/>
          <w:sz w:val="18"/>
          <w:szCs w:val="18"/>
          <w:b w:val="1"/>
          <w:bCs w:val="1"/>
          <w:color w:val="auto"/>
        </w:rPr>
        <w:t>ZEUS™</w:t>
      </w:r>
      <w:r>
        <w:rPr>
          <w:rFonts w:ascii="Times New Roman" w:cs="Times New Roman" w:eastAsia="Times New Roman" w:hAnsi="Times New Roman"/>
          <w:sz w:val="18"/>
          <w:szCs w:val="18"/>
          <w:color w:val="auto"/>
        </w:rPr>
        <w:t xml:space="preserve"> reactor, a portable modular solid core battery reactor ideal for military applications. Through the collaboration of our world-renowned nuclear scientists and engineers, the U.S. national nuclear laboratories, and government support, we believe our reactors will have the potential to impact the global energy landscape. Our goal is to commercially launch these products in the 2030s, and we are aiming to commercially launch the KRONOS MMR™ Energy System first in the early 2030s as we are currently dedicating a substantial majority of time and resources to such project. There can be no assurance that we will attain our construction, licensing and commercialization goals for our microreactors as currently anticipated.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ind w:left="660" w:hanging="328"/>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Fuel Supply Chain Business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our subsidiary, HALEU Energy Fuel Inc., and in coordination with the DOE, we are also seeking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 domestic LEU and HALEU fuel supply chain to supply fuel not only for our own reactors, but also to the broader advanced nuclear reactor industry. In December 2024, we announced that LIST, our related party through common ownership and management (see Note 9), and our Company were selected by the DOE to participate as one of six contract awardees in the DOE’s LEU Acquisition Program. Under the contract awarded to LIST, LIST was selected as the prime contractor, with our Company as the key subcontractor bringing our technical and regulatory expertise in advanced nuclear solutions to the collaboration (see Note 9 for further information). We are also evaluating ways to participate in other key aspects of the nuclear fuel supply chain in areas such as conversion through commercial agreements or acquisitions to achieve our goal of vertical integration across key aspects of the nuclear fuel cycle. Based on our active engagement regarding potential acquisitions or partnerships, we anticipate launching our fuel supply chain business in the second half of 2026, which is dependent on our success in consummating such transactions. As of the date of this Report, we have not yet entered into any definitive agreement for commercially launching our fuel supply chain business. There can be no assurance that we will proceed with the launch as currently anticipated.</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Fuel Transportation Business. </w:t>
      </w:r>
      <w:r>
        <w:rPr>
          <w:rFonts w:ascii="Times New Roman" w:cs="Times New Roman" w:eastAsia="Times New Roman" w:hAnsi="Times New Roman"/>
          <w:sz w:val="18"/>
          <w:szCs w:val="18"/>
          <w:color w:val="auto"/>
        </w:rPr>
        <w:t>Through our subsidiary, Advanced Fuel Transportation Inc., we are developing a high-capacity HALEU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transportation product, capable of moving commercial quantities of HALEU fuel, which we expect to integrate into our fuel transportation business. Our fuel transportation business will build on existing work completed at the INL, ORNL and PNNL, the world’s premier U.S.-backed nuclear research facilities. Commercial launch of this business has been dependent on our progress in acquiring assets and businesses within the nuclear transport industry to provide our company with the capabilities to internally move the materials, reactors, and fuels inherent within a reactor deployment operation. We are actively evaluating the potential acquisition of an existing, revenue-generating business focused on the transportation of nuclear fuel and nuclear waste that could provide internal and external capabilities to support future nuclear fuel logistics requirements for our company and third parties. There can be no assurance that we will proceed with any such acquisition as currently anticipated.</w:t>
      </w:r>
    </w:p>
    <w:p>
      <w:pPr>
        <w:spacing w:after="0" w:line="18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Nuclear Consultation and Technical Services. </w:t>
      </w:r>
      <w:r>
        <w:rPr>
          <w:rFonts w:ascii="Times New Roman" w:cs="Times New Roman" w:eastAsia="Times New Roman" w:hAnsi="Times New Roman"/>
          <w:sz w:val="18"/>
          <w:szCs w:val="18"/>
          <w:color w:val="auto"/>
        </w:rPr>
        <w:t>We also see an opportunity to provide nuclear technical support and consultation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resurgent and expanding nuclear energy industry in the future, primarily by acquiring businesses whose technical expertise will provide internal capabilities necessary to support us in developing and deploying its reactors or advancing its fuel supply chain business. Regulatory approval is not required to provide such services. As of the date of this Report, we have not yet formally launched our nuclear consultation business, although we generated a small amount of revenue from providing such services during our 2025 fiscal year. The timing and formal launch of this business, should we elect to proceed, will depend on our ability to identify and complete its evaluation of potential acquisition targets and to consummate one or more such acquisitions, as well as the satisfaction of applicable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mission is to become a commercially focused, diversified and vertically integrated nuclear energy company that will capture market share in the very large and growing nuclear energy sector. To implement our plans, since our founding in 2022, our management has had constant communications with key U.S. government agencies, including the DOE, the INL and ORNL, which are a part of the DOE’s national nuclear laboratory system. Our company also maintains important collaborations with leading researchers from the Cambridge Nuclear Energy Centre and The University of California, Berkeley.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Operational Plan and Estimated Timelines for Corporate Achievements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benefit from a global nuclear energy renaissance driven by several long term, sustainable growth trends and significant regulatory tailwinds. These include growth in AI data centers, industrial reshoring, and broader electrification, all driving a significant need for clean and reliable power, energy sustainability and independence, and climate mandates requiring reliable zero-emissions energy. All of this comes at a time of unprecedented bipartisan legislative and policy support in the U.S. for nuclear energy. Equally important, there is growing recognition that advanced reactors like the ones we are developing will be critical to future clean energy infrastructure.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our fiscal year 2026 (the period from October 1, 2025 to September 30, 2026), we will continue to progress the development of our advanced reactors (notably the KRONOS MMR reactor prototypes in the U.S. and Canada) and our vertically integrated business plan, with estimated cash expenditures to be approximately $65 million. This allocation comprises approximately $43 million dedicated to the research, development, quality assurance, licensing, and physical test work of our microreactors and other technologies. A further amount of approximately $12 million will be allocated to activities related to our nuclear fuel supply chain business, the related-party uranium enrichment company with whom we collaborate and in which we have made a strategic investment. The remaining approximately $10 million is earmarked for miscellaneous costs essential to propelling the progress of our microreactors, encompassing the support of current personnel engaged in executive, finance, accounting, and other administrative functions. We assess our cash expenditure estimates each quarter during the fiscal year, and there are no material changes to the estimated expenditures for the 2026 fiscal year as of the date of this Report. However, we may utilize our cash resources raised in 2024 and 2025 for acquisitions of complementary businesses or assets. As such, and for a variety of other factors, our estimated cash expenditures may differ substantially from the above estimates and if we find it desirable or necessary to utilize cash resources faster than we currently plan. Our projected expenditures are expected to be partially offset by interest income generated from our significant cash and cash equivalent balances.</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We have made material progress advancing the KRONOS MMR™ since acquiring the asset in January of 2025. On March 29, 2025, we executed a Sponsored Research Agreement Amendment No. 2 with The Board of Trustees of the University of Illinois (referred to for these purposes as “U of I”) that substituted our company as an assignee of the rights and obligations of USNC regarding the sponsored research relationship with UIUC for the KRONOS MMR™ project. Under the Sponsored Research Agreement and its amendments (the “UIUC Agreement”), our company, in collaboration with U of I, will construct, obtain regulatory approval for, and deploy a KRONOS MMR™ research and test reactor on the UIUC campus. The UIUC Agreement as entered into with U of I is effective January 1, 2022, and will terminate on February 28, 2027, unless terminated earlier under certain stipulations. In December of 2025, we signed a Memorandum of Understanding (MOU) with the U. of I. on behalf of UIUC to collaborate on the development, construction, and operation of its KRONOS MMR™ on campus as an advanced research reactor. While the aforementioned definitive sponsored research agreement between NANO Nuclear and U. of I. provided for U. of I.’s support in design and regulatory licensing of the prototype KRONOS MMR™, the December 2025 MOU set forth the next steps for the design, construction, ownership and ultimate operation of a KRONOS MMR™ on the UIUC campus.</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late April 2025, the NRC issued its final Safety Evaluation (SE) approving the Fuel Qualification Methodology Topical Report (FQM TR) for the advanced fuel design to be used in the KRONOS MMR™ Energy System. The FQM TR is a technical document that defines the analytical framework and testing approach by which irradiation data and fuel performance information will be evaluated to demonstrate that the KRONOS MMR™ fuel meets NRC safety and reliability requirements. Approval of the FQM TR does not in itself authorize construction or operation of the KRONOS MMR™ reactor; rather, it represents NRC approval of the methodology that will be used to qualify the fuel in subsequent testing and licensing steps. Following NRC approval of the FQM TR, we have initiated the fuel qualification program using the NRC-approved methodology. Fuel qualification is a staged and iterative process that includes defining test plans, generating and evaluating fuel performance data, and documenting results.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April 2, 2026, we announced that a Construction Permit Application (CPA) had been formally submitted by The Grainger College of Engineering at the U. of I., our partner for the KRONOS MMR™ deployment, to the NRC. With this submission, we become the first commercially-ready microreactor developer and the third commercially-ready Generation IV advanced reactor developer to submit a CPA, placing us among a small group of advanced nuclear companies progressing toward commercial deployment. The CPA submission represented a significant milestone for the KRONOS MMR™ in its progression from engineering design to potential construction on the campus of the U of I, through the reactor licensing process, and ultimately toward commercial deployment. Our regulatory activities prior to the submission were conducted within the NRC’s pre-application framework, which had included multiple technical submittals, meetings, and NRC staff feedback towards our technical submittals documented on the NRC’s public pre-application docket for UIUC. In order to make the CPA submission, the Company had to complete NRC pre-application engagement and technical interactions, completion of site characterization activities and development of site-specific inputs (including collecting and preparing location-specific technical, environmental, and engineering information to support regulatory filings and design work for a particular site), preparation of the environmental report required to support a construction permit application, preparation of preliminary safety analyses and application documentation, and initiation and ongoing execution of the NRC-approved fuel qualification program in accordance with its approved scope and phased development plan. With respect to site-specific work, we engaged AECOM, a multi-disciplinary engineering firm, in June 2025 to support site characterization, engineering, environmental analysis, and regulatory planning activities associated with the proposed reactor site at UIUC.</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the environmental report and safety analysis must be submitted with the application, the NRC’s detailed safety and environmental reviews occur after the application is docketed and may involve requests for additional information, audits, hearings, and public participation as part of the NRC’s review process. We will also continue fuel qualification activities during NRC review and in later licensing stages.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submission, the NRC will conduct an acceptance review to determine whether the application is sufficiently complete to docket. NRC guidance indicates that this acceptability determination is generally expected to occur within approximately 60 days; however, timing may vary. We currently expect to receive the CPA approval in ~12 months following the application being docketed, or sometime in mid-2027, subject to the NRC’s review process. We estimate this will be the first construction permit for a commercially-ready microreactor issued in the United States. The permit application will not incur any government fees, as the KRONOS MMR™ reactor, due to its location at UIUC, qualifies for a fee exemption under applicable regulations due to its use for research purposes.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docketing, the duration of the NRC’s safety and environmental reviews is not fixed. There can be no assurance as to the timing of completion of such reviews. The duration of the NRC’s review process may vary materially based on numerous factors, including, among other things, the completeness and quality of the application at submission, the number and complexity of NRC requests for additional information, the extent to which the application relies on previously reviewed topical reports, NRC staffing and resource availability, the scope and outcome of any required hearings, and the type and complexity of the environmental review, including whether an environmental impact statement is required. Accordingly, the timing of NRC review and any resulting licensing decisions is inherently uncertain and largely outside the Company’s control and any delays in the review process could materially and adversely affect the Company’s business, financial condition, and results of operations.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support the building of our first prototype reactor at the U of I and further development of our KRONOS MMR™ reactor, on July 30, 2025, we announced our acquisition of a 2.75-acre land and building package in Oak Brook, Illinois to serve as a regional demonstration and office facility. This facility is intended to support engineering, component manufacturing and assembly, prototype fabrication, non-nuclear testing, research and development activities, and administrative functions. We have undertaken significant work on retrofitting this facility to meet our anticipated needs, although the timing, scale, and configuration of our Oak Brook facility will depend and may change based on multiple factors, including permitting, availability of skilled labor, supply chain readiness, financing, and alignment with our regulatory and commercialization milestones. We will continue activities for our Oak Brook facility in the coming years in a manner aligned with the advancement of our reactor programs or other needs. Initial facility capabilities will focus on research, development, and prototype support, with manufacturing capabilities expanded over time as regulatory approvals are obtained and commercial demand materializes.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7, 2025, we announced that, with the support of Governor JB Pritzker and the Illinois Department of Commerce and Economic Opportunity, we will establish a manufacturing and research and development facility in Illinois. We plan to make an investment of more than $12 million with the support from the Reimagining Energy and Vehicles in Illinois (REV Illinois) program, which is expected to enable us to establish our operations and create 50 new full-time jobs in Illinois. For this effort, we will receive $6.8 million in incentive awards from the REV Illinois program.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9, 2026, we announced that we have been awarded a Gateway for Accelerated Innovations in Nuclear (GAIN) Voucher, NE-26-38854, by DOE relating to our KRONOS MMR™ Energy System titled, “Uncertainty Quantification and Sensitivity Analysis Support for NANO Nuclear Reactor Design Using ORNL’s Tools – SCALE/TSUNAMI.” In collaboration with the ORNL, we will apply the SCALE/TSUNAMI code suite to quantify the impact of nuclear data, modeling assumptions, and operational parameters on key reactor physics metrics, including reactivity, power distribution, and temperature coefficients. ORNL’s analytical tools and expertise, which are recognized by the NRC, will enable development of a validated UQ framework tailored to the KRONOS MMR™ design.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Significant capital will be needed to support our facility construction, licensing, fuel qualification testing, regulatory compliance, prototype construction, and workforce expansion for the development of our microreactors. We estimate that the capital costs needed to construct prototype KRONOS MMR™ reactors at the UIUC and Canada over the next several years could be around $300 million to $350 million per reactor. This range reflects inherent uncertainty in building a first-of-a-kind (FOAK) reactor due to several factors that can result in a material increase to these estimates, including site specific factors, the timing and scope of project development and regulatory licensing and supply chain considerations. At the same time, we are evaluating several potential non-dilutive funding sources, including government incentives and strategic funding support to reduce the cost of these FOAK reactors. Subsequent reactors’ capital costs are expected to decline substantially due to supply chain scaling for mass production of components, factory fabrication, modular assembly, and multiple deployments.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Canada, following our acquisition of GFPL and the Chalk River Licensing Application, followed by GFPL’s recent rebranding to True North Nuclear (see Note 10 to the accompanying unaudited consolidated financial statements for background information), we are working to finalize a formal agreement with a partner for a potential Chalk River Project. Upon finalization of an agreement for the project, the timing of which is uncertain, we aim to initiate formal licensing activities with the CNSC through a submission of a License to Prepare Site (LTPS) application with the CNSC.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the LOKI MMR™ system, we are still in the process of assessing and developing demonstration, licensing and commercial launch timelines for this reactor, while also assessing potential strategic partners that could help accelerate development and commercialization.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ZEUS reactor, we are examining slight modifications of the design to create an even smaller, more mobile reactor system, allowing for an increased number of applications which do not overlap with our other reactors, KRONOS and LOKI. The solid core concept permits a degree of simplicity, and fewer working parts, than other reactor types – we are working on exploiting these inherent advantages to provide this product in the market.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Readers are cautioned that the outlined expenditures and the anticipated timelines for execution of our plans discussed above and throughout this Management’s Discussion and Analysis of Financial Condition and Results of Operations are estimations only. These are inherently subject to change due to certain factors, including adjustments in the microreactor development plan and uncertainties associated with the governmental licensing approval process. Given that these elements may exceed our initial expectations or lie beyond our control, we cannot guarantee the accuracy of the actual expenditures and timelines.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Risks and Trends Affecting Our Business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Develop Our Microreactors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and our long-term prospects are significantly influenced by factors and trends related to the development, commercialization, and regulatory advancement of our microreactors. KRONOS™ MMR reactor is our lead reactor program and is being designed as a high-temperature microreactor intended for deployment for AI data centers, industrial environments, defense applications, and other off-grid settings requiring resilient, emissions-free power. The following factors and trends have impacted, and we expect will continue to impact, our KRONOS development program and our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Development of the KRONOS™ reactor is affected by the evolving regulatory framework for advanced non-light-water reactors. The NRC continues to refine guidance applicable to microreactor licensing, including siting, emergency planning, fuel qualification, and security requirements. Changes in NRC expectations, the need for additional data or analysis, or delays in regulatory review may impact our development timelines and costs. In addition, university-based demonstration efforts, including our ongoing collaboration with the UIUC, will require coordination with federal and state agencies, which may introduce uncertainties in scheduling and scope.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KRONOS™ reactor development relies on strategic collaborations with academic institutions and research organizations. Our work with UIUC includes analyses of siting suitability, infrastructure requirements, and potential demonstration pathways. Such partnerships provide access to technical expertise and research infrastructure but may be influenced by academic scheduling, funding availability, or institutional priorities. Delays or changes in partner capacity could affect program timelines.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KRONOS™ technology incorporates materials and components that require specialized fabrication processes, including high-temperature alloys, advanced coatings, and precision-engineered reactor structures. Global supply-chain conditions, vendor qualification requirements, and the availability of domestic manufacturing capacity will affect development costs and timelines. Government incentives for advanced reactor supply chains may reduce uncertainties, but broader economic factors—including inflationary pressures, material cost volatility, and logistics constraints—may continue to impact the program.</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LOKI MMR™ reactor originated as a compact, transportable nuclear microreactor design. The reactor is designed for versatility across terrestrial, marine, and space applications. It is engineered to deliver on the order of 0.5 MWe to around 3 MWe of power, making it suitable for remote deployments, off-grid energy needs, critical infrastructure support, and other distributed energy use-cases where traditional grid power is unavailable or unreliable. Its transportability via road, rail, sea, or air enables rapid deployment and modular scalability, especially when multiple units are networked for larger power requirements. The LOKI MMR™ supports diverse applications ranging from remote industrial operations to space exploration architectures. The design is positioned to support long-duration extra-terrestrial applications, including power for lunar or orbital infrastructure and potential deep-space missions.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portable ZEUS™ reactor is a solid-core “nuclear battery” microreactor, designed to deliver long-duration, reliable, zero-emission power in locations where grid access is unavailable, unreliable, or prohibitively expensive. The ZEUS™ reactor is optimized for remote, austere, and infrastructure-limited environments, including isolated communities, mining operations, military installations, critical infrastructure sites, and international deployments where diesel generation is currently dominant. The ZEUS™ technology includes a sealed, factory-fabricated, transportable reactor system. The reactor employs a solid fuel core and emphasizes passive safety, inherent stability, and minimal operator intervention. The system is designed to function as a “set-and-forget” power source, with all major safety, control, and thermal management features integrated into a compact, hardened structure capable of withstanding extreme environmental conditions. The design philosophy prioritizes simplicity, robustness, and high technology readiness levels (TRLs), avoiding unnecessary complexity to accelerate deployment and licensing pathways.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Fuel Supply Chain Business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develop key steps of the fuel for our own reactors and also to position our company to supply key steps of the fuel to the wider nuclear industry and other reactor manufacturers, addressing anticipated significant shortfalls in fuel supply. Through our investment and collaboration with LIST, which we believe is the only U.S.-origin and patented laser uranium enrichment company, our goal is to progress towards being what we believe will be the most vertically integrated microreactor business in the country. This would give our business a significant competitive advantage for both our own reactor development and establishing multiple sources of future revenue to de-risk our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Development of Fuel Transportation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have developed our business, we believe capability deficiencies in the U.S. nuclear industry that would affect the future operation of all SMR and microreactor companies became apparent, notably, there is currently no established method for transporting commercial quantities of HALEU across North America. Our proactive approach to mitigate future impediments to our operations culminated in locating research and technology developed by INL, PNNL and ORNL, that had not been advanced because of budget constraints. We received an exclusive license for a high capacity HALEU fuel transportation basket design in April 2024, which will form the basis of a complete transportation package able to move the most commonly utilized fuel types. The license grants us, as the licensee, exclusive rights for the use and development of certain transportation technology. If developed and commercialized, we believe this product would be one of the few of its kind in North America and would serve as the basis for a domestic HALEU transportation company capable of providing commercial quantities of HALEU fuel. We plan to work with engineering contractors to obtain an NRC Certificate of Compliance under 10 CFR 71 for our transportation packages.</w:t>
      </w:r>
    </w:p>
    <w:p>
      <w:pPr>
        <w:spacing w:after="0" w:line="18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We also plan to establish a transportation business focused on the movement of both LEU and HALEU. Currently we are developing a regulatorily licensed, high-capacity HALEU transportation system, capable of moving commercial quantities of HALEU fuel around North America and beyond. We are also actively exploring the potential acquisition of an existing nuclear fuel transportation business as a means of launching this business line.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seeking to establish the first transportation company able to supply emerging SMR and microreactor companies with the fuel they require at their manufacturing facilities to construct their reactors. We also expect to service the national nuclear laboratories and DOE programs which require HALEU by providing the fuel for their programs. Mobile reactors requiring HALEU for remote military bases are also anticipated, with potential military contacts. In 2026, our fuel transportation business will build on the work already completed by INL and ORNL to create a high-capacity HALEU transportation package. In September 2024, we signed an agreement with GNS to undertake a wide-ranging project to produce an optimized HALEU transportation system solution based on our exclusively licensed fuel transportation basket design. The GNS agreement encompasses a study for the transport of multiple HALEU nuclear fuel types, including uranium oxide, TRISO particles, uranium-zirconium hydride, uranium mononitride, and salt fuel for molten salt reactors, thus optimizing the quantity of material that can be transported and developing a conceptual package design that will accommodate the new basket design. We are receiving support from two former executives of the largest shipping company in the world who are assisting us in developing a North American transportation company using our licensed or developed technology to deliver (subject to applicable government licensing and certification) nuclear fuel for a wide customer base, including SMR and microreactor companies, national laboratories, military, and DOE programs.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Obtaining Regulatory Licensing</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regulatory licensing process for our microreactor prototypes is expected to be completed in the early 2030s, with manufacturing facilities being constructed during the licensing phase so we are ready to deploy microreactors (most notably our KRONOS MMR™) globally upon licensing approval. Our KRONOS MMR™ reactor system has already undergone important pre-licensing activities, including the submission of a Regulatory Engagement Plan, several White Papers and Topical Reports, and NRC approval for Fuel Qualification Methodology for the advanced fuel design to be used in our KRONOS micro modular reactor energy system. Our ability to successfully license and certify our microreactors will subsequently be dependent on working through the licensing process with the NRC (and, as applicable, Canadian and other regulators) and satisfying their examinations that the reactor is safe to deploy to customers, provided the agreed protocols are adhered to. Our ability to successfully design and construct our own commercial nuclear fuel facilities will be dependent on obtaining the necessary regulatory approvals from the NRC and other applicable authorities to permit the commercial deployment of microreactors. On April 2, 2026, we issued a press release announcing the formal submission of the Construction Permit Application by The Grainger College of Engineering at the UIUC, our partner for the KRONOS MMR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deployment, to the NRC.</w:t>
      </w:r>
    </w:p>
    <w:p>
      <w:pPr>
        <w:spacing w:after="0" w:line="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it relates to any potential fuel cycle facilities, the NRC inspects the site construction of new fuel cycle facilities and only approves the facility’s capability to possess nuclear material after ensuring that the facility’s safety controls are robust and able to safely handle these materials. Fuel cycle facilities must comply with the regulatory requirements established by the NRC. The facility will need to acquire an NRC license containing site-specific requirements that the facility is required to comply with. Each license is unique and is specific to the nuclear material and hazards present at the fuel cycle facility. To obtain a license will involve significant communication and interaction between the NRC and our company. NRC safety oversight includes three important components: NRC inspection, the routine assessment of each licensee’s performance, and enforcement in the case that the regulatory requirements are not met. We will also develop an environmental report to support any fuel cycle facility application and will work with the NRC through the process established under the National Environmental Policy Act of 1970, which will begin when a federal agency develops a proposal to take a major federal 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EGC and Smaller Reporting Company Status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we continue to qualify as an “emerging growth company” as defined in the Jumpstart Our Business Startups Act of 2012. However, as of such date, we no longer qualify as a “smaller reporting company” as defined under Rule 12b-2 of the Exchange Act due to our public float exceeding the applicable threshold for smaller reporting company status. Accordingly, while we remain eligible to take advantage of certain reduced reporting and disclosure requirements applicable to emerging growth companies, we are no longer entitled to the reduced disclosure requirements available to smaller reporting companies. Notwithstanding the foregoing, we continue to qualify as a non-accelerated filer under the Exchange Act until September 30,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the Three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material revenue from our inception through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$1,053,116 or 16%, to $5,659,427 for the three months ended March 31, 2026, compared to $6,712,543 for the comparative period ended March 31, 2025. This overall decrease was entirely driven by a reduction in research and development-related equity-based compensation. During the three months ended March 31, 2026 and 2025, $646,762 and $4,700,077, respectively, of our total research and development expenses corresponded to equity-based compensation. Excluding this non-cash equity-based compensation, our core research and development expenses, which primarily reflect internal and external personnel costs corresponding to the design and analysis of our microreactors, actually increased by approximately $3.0 million, reflecting our continued operational investment in microreactor development during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costs for personnel in executive, finance, accounting, and other administrative functions. General and administrative expenses also include legal fees, professional fees paid for accounting, auditing, consulting services, advertising costs, and insurance costs.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by $7,107,866, or 45%, to $8,589,312 for the three months ended March 31, 2026, compared to $15,697,178 for the comparative period ended March 31, 2025. This overall decrease was entirely driven by a significant reduction in equity-based compensation. During the three months ended March 31, 2026, general and administrative expenses primarily consisted of $5.2 million in total personnel costs, of which $2.0 million corresponded to equity-based compensation and $1.9 million in professional fees for legal and audit costs. In contrast, during the three months ended March 31, 2025, expenses primarily consisted of $12.6 million in total personnel costs, of which $11.8 million corresponded to equity-based compensation and $1.7 million in professional fees. Excluding the impact of non-cash equity-based compensation, our core general and administrative expenses increased during the current period, primarily due to the aforementioned rise in professional fees and additional office and staff costs required to support our research and development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Revaluation of contingent consideration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corresponds to equity based contingent consideration corresponding to the ALIP technology we acquired which is revalued at the end of each financial quarter based on the closing stock price of our common stock.</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revaluation of contingent consideration resulted in an expense recovery of $176,500 for the three months ended March 31, 2026, compared to an expense of $78,250 for the comparative period ended March 31, 2025, as a result of our acquisition of the ALIP technology on June 21,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earned interest income of $4,632,690 and $1,158,252, respectively, on our cash and cash equivalents held at a financial institution. In addition, during the three months ended March 31, 2026 and 2025, we earned $21,000 and $21,000, respectively, from a lease agreement from a related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2026 and the Six Months Ended March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generated any material revenue from our inception through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represent costs incurred for designing and engineering products, including the costs of developing design tools. All research and development costs related to product development are expensed as incurred.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$3,442,372, or 45%, to $11,059,838 for the six months ended March 31, 2026, compared to $7,617,466 for the comparative period ended March 31, 2025. This increase was primarily driven by a significant ramp-up in core research and development activities related to our microreactors during both the first and second quarters of the current fiscal year. These core expenses primarily reflect internal and external personnel costs corresponding to the design and analysis of our microreactors. The overall increase in total research and development expenses was partially offset by a reduction in research and development-related equity-based compensation. During the six months ended March 31, 2026 and 2025, $1,216,271 and $4,700,077, respectively, of our research and development expenses corresponded to equity-based compensation.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costs for personnel in executive, management, regulatory, finance, accounting, and other administrative functions. General and administrative expenses also include professional fees paid for legal, auditing and accounting services, consulting services, regulatory and compliance costs, lease and office costs, advertising costs, and insurance costs.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decreased by $2,715,834, or 15%, to $15,475,915 for the six months ended March 31, 2026, compared to $18,191,748 for the comparative period ended March 31, 2025. This overall decrease was entirely driven by a significant reduction in equity-based compensation. During the six months ended March 31, 2026, general and administrative expenses primarily consisted of $9.5 million in total personnel costs, of which $3.5 million corresponded to equity-based compensation and $3.8 million in professional fees for legal and audit costs. In contrast, during the six months ended March 31, 2025, expenses primarily consisted of $13.4 million in total personnel costs, of which $11.8 million corresponded to equity-based compensation and $2.5 million in professional fees. Excluding the impact of non-cash equity-based compensation, our core general and administrative expenses increased significantly during the current six-month period. This increase was primarily due to the aforementioned rise in professional fees and additional office and staff costs required to support our expanding research and development activities.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Revaluation of contingent consideration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Revaluation of contingent consideration corresponds to equity-based contingent consideration corresponding to the ALIP technology we acquired which is revalued at the end of each financial quarter based on the closing stock price of our common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revaluation of contingent consideration was $904,000 for the six months ended March 31, 2026, compared to $602,500 for the comparative period ended March 31, 2025, as a result of our acquisition of the ALIP technology on June 21,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March 31, 2026 and 2025, the company earned interest income of $9,553,397 and $1,947,631, respectively, on its cash held at financial institutions. During the six months ended March 31, 2026 and 2025, the Company earned $42,000 and $42,000, respectively, from a lease agreement with LIST, a related party. Also, during six months ended March 31, 2026, the Company earned $71,850 from consulting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able to utilize our status as a public company to raise significant capital since our May 2024 initial public offering. As such, we believe that our existing cash will fund our current operating and research and development plans through at least the next twelve months from the date of this Report. We have coupled our fundraising with what we believe is a prudent deployment of capital as we move our business forward. Although we experienced operating cash outflows of $9.3 million and $5.6 million for the six months ended March 31, 2026, and 2025, respectively, we maintain a robust liquidity profile. As of March 31, 2026, we held $568.7 million in total liquidity, consisting of $197.7 million in cash and cash equivalents and $371 million in short-term U.S. Treasury securities. This represents a significant increase from September 30, 2025, when we held $203.3 million in cash and cash equivalents and no short-term investments. Additionally, our working capital increased to $565.7 million as of March 31, 2026, compared to $200.8 million at our prior fiscal year-end. On March 13, 2026, our 2025 Shelf Registration Statement was declared effective by the SEC, which registers the offer and sale of securities with an aggregate offering price of up to $900 million. Of this amount, up to $400 million may be offered pursuant to an “at-the-market” offering program, which we may utilize from time to time in the future if needed and subject to market conditions (See Note 5 to the accompanying unaudited consolidated financial statements for background information).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the future development of our business towards ultimate commercialization of our products will require significant amounts of cash resources. Since we do not anticipate generating meaningful revenues for several years, we intend to finance our future cash requirements for capital expenditures, research and development and business development activities and general working capital through public or private equity or debt financings, third-party (including government) funding, or any combination of these approaches. If we raise additional funds through further issuances of equity or equity-linked instruments, our existing stockholders could suffer significant dilution. Moreover, no assurances can be given that we will be able to raise required funding on favorable terms, if at all, and our inability to raise additional funding when needed could have a material adverse effect on our company and results of operations and could cause our business to fail.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issuing our unaudited condensed consolidated financial statements, we evaluated whether there were any conditions and events that raise substantial doubt about our ability to continue as a going concern over the twelve months after the date the unaudited condensed consolidated financial statements were issued. Since inception, we have incurred significant operating losses, and have an accumulated deficit of approximately $73 million and negative operating cash flow during the six months ended March 31, 2026 and 2025. Management expects that operating losses and negative cash flows may increase from the 2025 and 2026 levels because of additional costs and expenses related to our research and development activities. Our continued solvency is dependent upon our ability to obtain additional working capital to complete the design, construction, demonstration, regulatory licensing and ultimately commercialization of our reactors in development and other technologies and contemplated services.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material revenue. We do not expect to generate any significant revenue unless and until we are able to commercialize our reactors. We will require additional capital to develop our reactors and to fund operations for the foreseeable future. We expect our costs to increase in connection with advancement of our reactors toward commercialization and develop our other lines of business. While we believe that our existing cash may be sufficient to support our development in the near-term, certain costs are not reasonably estimable at this time and we will require additional funding.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of the opinion that sufficient working capital is available to meet our company’s liabilities and commitments as they come due for at least the next twelve months after the date the unaudited condensed consolidated financial statements are issued to conform to the going concern uncertainty period. In order to achieve our company’s long-term strategy, our company expects to raise additional capital or secure other sources of financing to support its business plan and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 for the Six Months Ended March 31, 2026, and the Six Months Ended March 31,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(9,254,201)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(5,620,979)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(380,500,548)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(12,700,891)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384,182,368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108,365,064</w:t>
            </w:r>
          </w:p>
        </w:tc>
        <w:tc>
          <w:tcPr>
            <w:tcW w:w="80" w:type="dxa"/>
            <w:vAlign w:val="bottom"/>
            <w:shd w:val="clear" w:color="auto" w:fill="CCEEFF"/>
          </w:tcPr>
          <w:p>
            <w:pPr>
              <w:spacing w:after="0"/>
              <w:rPr>
                <w:sz w:val="19"/>
                <w:szCs w:val="19"/>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(5,572,381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90,043,194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by operating activities for the six months ended March 31, 2026 was $9,254,201, which consisted of our net loss of $15,696,445, net of non-cash items of $4,203,320, and net of changes in working capital accounts of $2,238,924.</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March 31, 2025 was $5,620,979, which consisted of our net loss of $24,422,083, net of non-cash items of $17,251,684, and net of changes in working capital accounts of $1,549,420.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used in operating activities increased by $3,633,222 during the six months ended March 31, 2026, due to an increase in net loss and changes in working capital accounts. The increase in cash used in operating activities during the six months ended March 31, 2026, when compared to the six months ended March 31, 2025, was primarily due to increased research and development activities, additional regulatory and staff costs to support our research and development activities, and additional office and professional fees during the six months ended March 31, 2026 compared to the six months ended March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for the six months ended March 31, 2026 was $380,500,548, representing $370,690,337 related to short-term investments, $5,620,823 paid for the acquisition of land and building for office space in New York, $3,139,388 payments related to construction in progress of property acquired in Oak Brook Illinois, and $1,050,000 in deposits.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March 31, 2025 was $12,700,891, which consisted of $9,075,045 of cash paid for the acquisition of the USNC Assets that closed on January 10, 2025 and consisted of $3,625,846 of cash paid for additions to property, plant and equipment.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March 31, 2026 was $384,182,368, which consisted of approximately $2.5 million from exercises of warrants, $3.3 million from exercises of stock options, and $400,000,333 in cash received from our October 2025 private placement offering less $21,520,711 of corresponding offering costs, and less $85,500 in deferred financing costs.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March 31, 2025 was $108,365,064, which consisted of approximately $14.4 million from exercises of warrants, $1.6 million from exercises of stock options, and net proceeds of approximately $92.3 million from the Company’s registered follow-on offering in October 2024, and its November 2024 private placement offering.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2026 and September 30, 2025, we had two long-term operating leases corresponding to (1) our corporate headquarters located at 10 Times Square, 30th Floor, New York, New York and (2) space being used as a technology demonstration facility in Westchester County, New York. Our corporate headquarters cover approximately 7,800 square feet. We lease this space for $33,605 per month whereby the monthly lease rent will increase by 2.5% on an annual basis. The lease has a term ending on July 31, 2031. Our demonstration facility covers approximately 6,800 square feet in Westchester County, New York. We lease this space for $17,000 per month whereby the monthly lease rent will increase by 2.5% on an annual basis. The lease has a term ending on December 31, 2030.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September 30, 2025, we have not engaged in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impact of changes in interest rates and foreign currency exchange rates in the normal course of business and to market price fluctuations related to our financial investments. We may have involvement with derivative financial instruments and use such instruments to the extent necessary to manage exposure to foreign currency fluctuations. At March 31, 2026, we performed sensitivity analyses to assess the potential loss in the fair values of market risk sensitive instruments resulting from a hypothetical change of 10 percent in foreign currency exchange rates, a 10 percent decline in the market value of our long-term investments, or a 10 percent change in interest rates. Based upon the analyses performed, such changes would not be expected to materially affect our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disclosure controls and procedures as of the period ended March 31, 2026, as such term is defined in Rules 13a-15(e) and 15d-15(e) under the Exchange Act. Based on this evaluation, our principal executive officer and principal financial officer have concluded that our disclosure controls and procedures were effective as of March 31, 2026. Accordingly, our management believes that the unaudited condensed consolidated financial statements included in this Report present fairly in all material respects our consolidated financial position, results of operations and cash flows for the periods presented. In addition, because we are an “emerging growth company” as defined under the terms of the JOBS Act of 2012, our independent registered public accounting firm is not required to issue an attestation report on our internal control over financial reporting.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SEC filing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(as defined in Rule 13a-15(f) of the Exchange Act) during the quarter ended March 31, 2026, that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We are not presently a party to any legal proceedings that, if determined adversely to us, would individually or taken together have a material adverse effect on our business, operating results, financial condition or cash flows, except for the following: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August 9, 2024, a putative securities class action lawsuit was filed against us and certain of our officers in the United States District Court for the Southern District of New York, captioned </w:t>
      </w:r>
      <w:r>
        <w:rPr>
          <w:rFonts w:ascii="Times New Roman" w:cs="Times New Roman" w:eastAsia="Times New Roman" w:hAnsi="Times New Roman"/>
          <w:sz w:val="18"/>
          <w:szCs w:val="18"/>
          <w:i w:val="1"/>
          <w:iCs w:val="1"/>
          <w:color w:val="auto"/>
        </w:rPr>
        <w:t>Yvette Yang v. Nano Nuclear Energy Inc., et al.</w:t>
      </w:r>
      <w:r>
        <w:rPr>
          <w:rFonts w:ascii="Times New Roman" w:cs="Times New Roman" w:eastAsia="Times New Roman" w:hAnsi="Times New Roman"/>
          <w:sz w:val="18"/>
          <w:szCs w:val="18"/>
          <w:color w:val="auto"/>
        </w:rPr>
        <w:t>, No. 1:24-cv-06057 (S.D.N.Y.). As previously reported, on January 8, 2026, the court issued an order granting defendants’ motion to dismiss, and on February 12, 2026, the court entered judgment in favor of defendants. Plaintiff has filed a notice of appeal to the United States Court of Appeals for the Second Circuit, and plaintiff’s opening brief on appeal is due on May 28, 2026. We dispute the allegations in the amended complaint and will continue to defend the case vigorously.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on August 23, 2024, a putative shareholder derivative lawsuit was filed purportedly on behalf of our company, as nominal defendant, against certain of our directors and officers in the Eighth Judicial District Court of Clark County, Nevada, captioned William Latza, Derivatively on Behalf of Nano Nuclear, Inc. v. James Walker, et al., No. A-24-900423-C. As previously reported, on October 30, 2025, the court entered a formal order and statement of decision granting separate motions to dismiss filed by us and our directors and officers. On February 10, 2026, plaintiff and defendants filed a stipulation to dismiss the case with prejudice, with each side bearing its own costs and fees, and the court entered an order dismissing the case with prejudice.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from time to time, we may be subject to various additional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continue to grow and develop our products, we anticipate that we will expend significant financial and managerial resources in the defense of our products in the future. We also anticipate that we will expend significant financial and managerial resources to defend against claims that our products and services infringe upon the intellectual property rights of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include the risk factors described in our filings with the SEC, including the section titled “Risk Factors” in our 2025 Annual Report.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Report, except as set forth below, there have been no material changes to the risk factors disclosed in our prior SEC filings, including our 2025 Annual Report.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16, 2026, we received a subpoena for documents from the Securities and Exchange Commission (“SEC”) relating to two service providers. This subpoena, which is part of an investigation by the SEC, follows an initial request for information by the SEC to us in April 2025. We completed an initial voluntary production of documents in August 2025. We are communicating and cooperating fully with the SEC and at this juncture, we cannot predict the outcome of the investigation.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may be adversely affected by current global geopolitical conditions and armed conflicts in the Ukraine and Russia and in the Middle East between United States, Israel and Iran and others, as well as by other events that are outside of our control.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could be adversely affected by events that are outside of our control. For example, United States and global markets have experienced and may continue to experience volatility and disruption following the geopolitical instability resulting from the ongoing Russia-Ukraine conflict and the recent conflict in the Middle East and Southwest Asia between the United States, Israel and Iran and others. Recent hostilities between the United States, Israel and Iran and others have caused significant disruption in the normal flow of oil, refined petroleum products and related commodities, with consequent price rises and associated economic volatility. In response to such conflicts,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or have undertaken or will undertake military strikes in locations related to the conflicts, including but not limited to Iran, and there have been retaliatory military responses, increasing geopolitical tensions among a number of nations.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invasion of Ukraine by Russia and the escalation of the conflict involving the United States, Israel and Iran and others in the Middle East and Southwest Asia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and geopolitical turmoil are highly unpredictable, they could lead to market disruptions, including significant volatility in commodity prices, credit and capital markets, as well as supply chain interruptions, changes in consumer or producer purchasing behavior and increased cyber-attacks against U.S. companies. Additionally, any resulting sanctions could adversely affect the global economy and financial markets and lead to instability and lack of liquidity in capital markets.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Similarly, other events outside of our control, including natural disasters, climate-related events and pandemic or health crises (such as the COVID-19 pandemic) may arise from time to time, and any such events may cause significant volatility and declines in the global markets and have disproportionate impacts to certain industries or sectors and disruptions to commerce (including economic activity, travel and supply chain), and may adversely affect the global economy or capital markets.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abovementioned factors, or any other negative impact on the global economy, capital markets or other geopolitical conditions resulting from the Russian invasion of Ukraine, the escalation of the conflict involving the United States, Israel and Iran and others in the Middle East and Southwest Asia and subsequent sanctions or related actions, could adversely affect our business, financial conditions and results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extent and duration of the ongoing conflicts, resulting sanctions and any related market disruptions are impossible to predict, but could be substantial, particularly if current or new sanctions continue for an extended period of time, if geopolitical tensions result in expanded military operations on a global scale or if there are disruptions in the supply of oil or other commodities.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such disruptions may also have the effect of heightening many of the other risks described in this Item. If these disruptions or other matters of global concern continue for an extensive period of time, our business, financial conditions and results of operations may be adversely affected. In addition, our ability to raise equity or debt financing may be impacted by these and other events, including as a result of increased market volatility or decreased availability of third-party financing on acceptable terms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Military or other conflicts in Ukraine, between the United States, Israel and Iran and others in the Middle East and Southwest Asia or other armed hostilities may lead to increased volume and price volatility for publicly traded securities.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Ongoing and potential military conflicts, including those in Ukraine and tensions involving the United States, Israel, Iran, and other countries in the Middle East and Southwest Asia, as well as other regions, may contribute to heightened geopolitical uncertainty. Such developments have led, and may continue to lead, to increased volatility in global financial markets, including fluctuations in the volume and price of publicly traded securities. Geopolitical events are inherently unpredictable and may result in sharp market reactions, including declines in asset prices and reduced investor confidence.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geopolitical tensions may lead to the imposition of sanctions, export controls, trade restrictions, or other governmental actions that could limit our ability to conduct business with certain counterparties or in certain jurisdictions. Such developments may also affect our access to capital markets or increase our cost of capital.</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factors, individually or in the aggregate, could adversely affect our business, results of operations, financial condition, and the market price and liquidity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quarterly period covered by the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offerings of registered securities and therefore no planned use of proceeds from such offerings during the quarterly period covered by the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purchases of our equity securities by us or an affiliate during the quarterly period covered by the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532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80" w:type="dxa"/>
            <w:vAlign w:val="bottom"/>
            <w:tcBorders>
              <w:bottom w:val="single" w:sz="8" w:color="auto"/>
            </w:tcBorders>
          </w:tcPr>
          <w:p>
            <w:pPr>
              <w:spacing w:after="0"/>
              <w:rPr>
                <w:sz w:val="24"/>
                <w:szCs w:val="24"/>
                <w:color w:val="auto"/>
              </w:rPr>
            </w:pPr>
          </w:p>
        </w:tc>
      </w:tr>
      <w:tr>
        <w:trPr>
          <w:trHeight w:val="194"/>
        </w:trPr>
        <w:tc>
          <w:tcPr>
            <w:tcW w:w="1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400"/>
              <w:spacing w:after="0" w:line="194" w:lineRule="exact"/>
              <w:rPr>
                <w:sz w:val="20"/>
                <w:szCs w:val="20"/>
                <w:color w:val="auto"/>
              </w:rPr>
            </w:pPr>
            <w:r>
              <w:rPr>
                <w:rFonts w:ascii="Times New Roman" w:cs="Times New Roman" w:eastAsia="Times New Roman" w:hAnsi="Times New Roman"/>
                <w:sz w:val="18"/>
                <w:szCs w:val="18"/>
                <w:b w:val="1"/>
                <w:bCs w:val="1"/>
                <w:color w:val="auto"/>
              </w:rPr>
              <w:t>File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2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No.</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Articles of Incorporation of the Company</w:t>
              </w:r>
            </w:hyperlink>
          </w:p>
        </w:tc>
        <w:tc>
          <w:tcPr>
            <w:tcW w:w="1180" w:type="dxa"/>
            <w:vAlign w:val="bottom"/>
            <w:tcBorders>
              <w:bottom w:val="single" w:sz="8" w:color="CCEEFF"/>
            </w:tcBorders>
            <w:gridSpan w:val="15"/>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Amendment to Articles of Incorporation</w:t>
              </w:r>
            </w:hyperlink>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of the Company</w:t>
              </w:r>
            </w:hyperlink>
          </w:p>
        </w:tc>
        <w:tc>
          <w:tcPr>
            <w:tcW w:w="280" w:type="dxa"/>
            <w:vAlign w:val="bottom"/>
            <w:gridSpan w:val="3"/>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Bylaws of the Company</w:t>
              </w:r>
            </w:hyperlink>
          </w:p>
        </w:tc>
        <w:tc>
          <w:tcPr>
            <w:tcW w:w="720" w:type="dxa"/>
            <w:vAlign w:val="bottom"/>
            <w:tcBorders>
              <w:bottom w:val="single" w:sz="8" w:color="CCEEFF"/>
            </w:tcBorders>
            <w:gridSpan w:val="9"/>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3.3</w:t>
            </w: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Underwriter’s Warrant, dated May 10, 2024</w:t>
              </w:r>
            </w:hyperlink>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13, 2024</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5"/>
                <w:szCs w:val="15"/>
                <w:color w:val="auto"/>
              </w:rPr>
            </w:pPr>
          </w:p>
        </w:tc>
        <w:tc>
          <w:tcPr>
            <w:tcW w:w="418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Warrant Agent Agreement, dated July 11, 2024, by</w:t>
              </w:r>
            </w:hyperlink>
          </w:p>
        </w:tc>
        <w:tc>
          <w:tcPr>
            <w:tcW w:w="1580" w:type="dxa"/>
            <w:vAlign w:val="bottom"/>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July 15, 2024</w:t>
            </w:r>
          </w:p>
        </w:tc>
      </w:tr>
      <w:tr>
        <w:trPr>
          <w:trHeight w:val="20"/>
        </w:trPr>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and between the Company and VStock Transfer, LLC</w:t>
              </w:r>
            </w:hyperlink>
          </w:p>
        </w:tc>
        <w:tc>
          <w:tcPr>
            <w:tcW w:w="300" w:type="dxa"/>
            <w:vAlign w:val="bottom"/>
            <w:tcBorders>
              <w:bottom w:val="single" w:sz="8" w:color="CCEEFF"/>
            </w:tcBorders>
            <w:gridSpan w:val="4"/>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Underwriter’s Warrant, dated July 15, 2024</w:t>
              </w:r>
            </w:hyperlink>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July 15, 2024</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5"/>
                <w:szCs w:val="15"/>
                <w:color w:val="auto"/>
              </w:rPr>
            </w:pPr>
          </w:p>
        </w:tc>
        <w:tc>
          <w:tcPr>
            <w:tcW w:w="418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Underwriter’s Warrant, dated October 25, 2024</w:t>
              </w:r>
            </w:hyperlink>
          </w:p>
        </w:tc>
        <w:tc>
          <w:tcPr>
            <w:tcW w:w="1580" w:type="dxa"/>
            <w:vAlign w:val="bottom"/>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25, 2024</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5"/>
                <w:szCs w:val="15"/>
                <w:color w:val="auto"/>
              </w:rPr>
            </w:pPr>
          </w:p>
        </w:tc>
        <w:tc>
          <w:tcPr>
            <w:tcW w:w="3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2024 B Warrant Agent Agreement, dated October 23,</w:t>
              </w:r>
            </w:hyperlink>
          </w:p>
        </w:tc>
        <w:tc>
          <w:tcPr>
            <w:tcW w:w="300" w:type="dxa"/>
            <w:vAlign w:val="bottom"/>
            <w:gridSpan w:val="4"/>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25, 2024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2024, by and between the Company and VStock</w:t>
              </w:r>
            </w:hyperlink>
          </w:p>
        </w:tc>
        <w:tc>
          <w:tcPr>
            <w:tcW w:w="700" w:type="dxa"/>
            <w:vAlign w:val="bottom"/>
            <w:gridSpan w:val="8"/>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gridSpan w:val="2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Transfer, LLC</w:t>
              </w:r>
            </w:hyperlink>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shd w:val="clear" w:color="auto" w:fill="CCEEFF"/>
          </w:tcPr>
          <w:p>
            <w:pPr>
              <w:spacing w:after="0"/>
              <w:rPr>
                <w:sz w:val="15"/>
                <w:szCs w:val="15"/>
                <w:color w:val="auto"/>
              </w:rPr>
            </w:pPr>
          </w:p>
        </w:tc>
        <w:tc>
          <w:tcPr>
            <w:tcW w:w="35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Form of Common Stock Purchase Warrant, dated</w:t>
              </w:r>
            </w:hyperlink>
          </w:p>
        </w:tc>
        <w:tc>
          <w:tcPr>
            <w:tcW w:w="620" w:type="dxa"/>
            <w:vAlign w:val="bottom"/>
            <w:tcBorders>
              <w:bottom w:val="single" w:sz="8" w:color="CCEEFF"/>
            </w:tcBorders>
            <w:gridSpan w:val="6"/>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27, 2024</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November 27, 2024, between the Company and the</w:t>
              </w:r>
            </w:hyperlink>
          </w:p>
        </w:tc>
        <w:tc>
          <w:tcPr>
            <w:tcW w:w="30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Investors</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2023 Stock Option Plan #1</w:t>
              </w:r>
            </w:hyperlink>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2023 Stock Option Agreement under 2023</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Stock Option Plan #1</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2023 Stock Option Plan #2</w:t>
              </w:r>
            </w:hyperlink>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Form of 2023 Stock Option Agreement under 2023</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333-278076</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10.11</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March 19, 2024</w:t>
            </w: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Stock Option Plan #2</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2025 Equity Incentive Plan</w:t>
              </w:r>
            </w:hyperlink>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Schedule 14A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3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Annex A</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28, 2025</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Securities Purchase Agreement, dated May</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29, 2025</w:t>
            </w: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26, 2025, by and between the Company and the</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Investors</w:t>
              </w:r>
            </w:hyperlink>
          </w:p>
        </w:tc>
        <w:tc>
          <w:tcPr>
            <w:tcW w:w="760" w:type="dxa"/>
            <w:vAlign w:val="bottom"/>
            <w:tcBorders>
              <w:top w:val="single" w:sz="8" w:color="CCEEFF"/>
            </w:tcBorders>
            <w:gridSpan w:val="10"/>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Registration Rights Agreement, dated May</w:t>
              </w:r>
            </w:hyperlink>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29, 2025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26, 2025, by and between the Company and the</w:t>
              </w:r>
            </w:hyperlink>
          </w:p>
        </w:tc>
        <w:tc>
          <w:tcPr>
            <w:tcW w:w="30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Investors</w:t>
              </w:r>
            </w:hyperlink>
          </w:p>
        </w:tc>
        <w:tc>
          <w:tcPr>
            <w:tcW w:w="76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Placement Agency Agreement, dated May 26, 2025,</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May 29, 2025</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by and between the Company and Titan Partners</w:t>
              </w:r>
            </w:hyperlink>
          </w:p>
        </w:tc>
        <w:tc>
          <w:tcPr>
            <w:tcW w:w="680" w:type="dxa"/>
            <w:vAlign w:val="bottom"/>
            <w:tcBorders>
              <w:bottom w:val="single" w:sz="8" w:color="CCEEFF"/>
            </w:tcBorders>
            <w:gridSpan w:val="7"/>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Group LLC, a division of American Capital Partners,</w:t>
              </w:r>
            </w:hyperlink>
          </w:p>
        </w:tc>
        <w:tc>
          <w:tcPr>
            <w:tcW w:w="30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LLC</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5"/>
                <w:szCs w:val="15"/>
                <w:color w:val="auto"/>
              </w:rPr>
            </w:pPr>
          </w:p>
        </w:tc>
        <w:tc>
          <w:tcPr>
            <w:tcW w:w="336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Form of Securities Purchase Agreement, dated</w:t>
              </w:r>
            </w:hyperlink>
          </w:p>
        </w:tc>
        <w:tc>
          <w:tcPr>
            <w:tcW w:w="820" w:type="dxa"/>
            <w:vAlign w:val="bottom"/>
            <w:gridSpan w:val="12"/>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10, 2025</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October 7, 2025, by and between the Registrant and</w:t>
              </w:r>
            </w:hyperlink>
          </w:p>
        </w:tc>
        <w:tc>
          <w:tcPr>
            <w:tcW w:w="30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gridSpan w:val="2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the Investors</w:t>
              </w:r>
            </w:hyperlink>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220" w:type="dxa"/>
            <w:vAlign w:val="bottom"/>
            <w:tcBorders>
              <w:bottom w:val="single" w:sz="8" w:color="CCEEFF"/>
            </w:tcBorders>
            <w:shd w:val="clear" w:color="auto" w:fill="CCEEFF"/>
          </w:tcPr>
          <w:p>
            <w:pPr>
              <w:spacing w:after="0"/>
              <w:rPr>
                <w:sz w:val="15"/>
                <w:szCs w:val="15"/>
                <w:color w:val="auto"/>
              </w:rPr>
            </w:pPr>
          </w:p>
        </w:tc>
        <w:tc>
          <w:tcPr>
            <w:tcW w:w="394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Placement Agency Agreement, dated October 7, 2025,</w:t>
              </w:r>
            </w:hyperlink>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October 10, 2025</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by and between the Company and Titan Partners</w:t>
              </w:r>
            </w:hyperlink>
          </w:p>
        </w:tc>
        <w:tc>
          <w:tcPr>
            <w:tcW w:w="680" w:type="dxa"/>
            <w:vAlign w:val="bottom"/>
            <w:tcBorders>
              <w:bottom w:val="single" w:sz="8" w:color="CCEEFF"/>
            </w:tcBorders>
            <w:gridSpan w:val="7"/>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880" w:type="dxa"/>
            <w:vAlign w:val="bottom"/>
            <w:tcBorders>
              <w:bottom w:val="single" w:sz="8" w:color="0000EE"/>
              <w:right w:val="single" w:sz="8" w:color="CCEEFF"/>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Group LLC, a division of American Capital Partners,</w:t>
              </w:r>
            </w:hyperlink>
          </w:p>
        </w:tc>
        <w:tc>
          <w:tcPr>
            <w:tcW w:w="300" w:type="dxa"/>
            <w:vAlign w:val="bottom"/>
            <w:tcBorders>
              <w:bottom w:val="single" w:sz="8" w:color="CCEEFF"/>
            </w:tcBorders>
            <w:gridSpan w:val="4"/>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18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LLC</w:t>
              </w:r>
            </w:hyperlink>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5"/>
                <w:szCs w:val="15"/>
                <w:color w:val="auto"/>
              </w:rPr>
            </w:pPr>
          </w:p>
        </w:tc>
        <w:tc>
          <w:tcPr>
            <w:tcW w:w="35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Employment Agreement, dated January 31, 2026,</w:t>
              </w:r>
            </w:hyperlink>
          </w:p>
        </w:tc>
        <w:tc>
          <w:tcPr>
            <w:tcW w:w="600" w:type="dxa"/>
            <w:vAlign w:val="bottom"/>
            <w:gridSpan w:val="5"/>
          </w:tcPr>
          <w:p>
            <w:pPr>
              <w:spacing w:after="0"/>
              <w:rPr>
                <w:sz w:val="15"/>
                <w:szCs w:val="15"/>
                <w:color w:val="auto"/>
              </w:rPr>
            </w:pPr>
          </w:p>
        </w:tc>
        <w:tc>
          <w:tcPr>
            <w:tcW w:w="15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5, 2026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80" w:type="dxa"/>
            <w:vAlign w:val="bottom"/>
            <w:gridSpan w:val="27"/>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between the Company and James Walker</w:t>
              </w:r>
            </w:hyperlink>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220" w:type="dxa"/>
            <w:vAlign w:val="bottom"/>
            <w:tcBorders>
              <w:bottom w:val="single" w:sz="8" w:color="CCEEFF"/>
            </w:tcBorders>
            <w:shd w:val="clear" w:color="auto" w:fill="CCEEFF"/>
          </w:tcPr>
          <w:p>
            <w:pPr>
              <w:spacing w:after="0"/>
              <w:rPr>
                <w:sz w:val="15"/>
                <w:szCs w:val="15"/>
                <w:color w:val="auto"/>
              </w:rPr>
            </w:pPr>
          </w:p>
        </w:tc>
        <w:tc>
          <w:tcPr>
            <w:tcW w:w="35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Employment Agreement, dated January 31, 2026,</w:t>
              </w:r>
            </w:hyperlink>
          </w:p>
        </w:tc>
        <w:tc>
          <w:tcPr>
            <w:tcW w:w="600" w:type="dxa"/>
            <w:vAlign w:val="bottom"/>
            <w:tcBorders>
              <w:bottom w:val="single" w:sz="8" w:color="CCEEFF"/>
            </w:tcBorders>
            <w:gridSpan w:val="5"/>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001-42044</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February 5, 2026</w:t>
            </w: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between the Company and Jaisun Garcha</w:t>
              </w:r>
            </w:hyperlink>
          </w:p>
        </w:tc>
        <w:tc>
          <w:tcPr>
            <w:tcW w:w="1200" w:type="dxa"/>
            <w:vAlign w:val="bottom"/>
            <w:tcBorders>
              <w:bottom w:val="single" w:sz="8" w:color="CCEEFF"/>
            </w:tcBorders>
            <w:gridSpan w:val="16"/>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Rule 13a-14(a) or Rule 15d-14(a)</w:t>
            </w:r>
          </w:p>
        </w:tc>
        <w:tc>
          <w:tcPr>
            <w:tcW w:w="30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w:t>
            </w:r>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Rule15d-14(a)</w:t>
            </w:r>
          </w:p>
        </w:tc>
        <w:tc>
          <w:tcPr>
            <w:tcW w:w="1800" w:type="dxa"/>
            <w:vAlign w:val="bottom"/>
            <w:tcBorders>
              <w:bottom w:val="single" w:sz="8" w:color="CCEEFF"/>
            </w:tcBorders>
            <w:gridSpan w:val="19"/>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5"/>
                <w:szCs w:val="15"/>
                <w:color w:val="auto"/>
              </w:rPr>
            </w:pPr>
          </w:p>
        </w:tc>
        <w:tc>
          <w:tcPr>
            <w:tcW w:w="418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Section 1350 of the Sarbanes-Oxley Act of 2002</w:t>
            </w:r>
          </w:p>
        </w:tc>
        <w:tc>
          <w:tcPr>
            <w:tcW w:w="30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bottom w:val="single" w:sz="8" w:color="CCEEFF"/>
            </w:tcBorders>
            <w:shd w:val="clear" w:color="auto" w:fill="CCEEFF"/>
          </w:tcPr>
          <w:p>
            <w:pPr>
              <w:spacing w:after="0"/>
              <w:rPr>
                <w:sz w:val="15"/>
                <w:szCs w:val="15"/>
                <w:color w:val="auto"/>
              </w:rPr>
            </w:pPr>
          </w:p>
        </w:tc>
        <w:tc>
          <w:tcPr>
            <w:tcW w:w="3880" w:type="dxa"/>
            <w:vAlign w:val="bottom"/>
            <w:tcBorders>
              <w:bottom w:val="single" w:sz="8" w:color="0000EE"/>
              <w:right w:val="single" w:sz="8" w:color="CCEEFF"/>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w:t>
            </w:r>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r>
      <w:tr>
        <w:trPr>
          <w:trHeight w:val="216"/>
        </w:trPr>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8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1350 of the Sarbanes-Oxley Act of 2002</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11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5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 w:type="dxa"/>
            <w:vAlign w:val="bottom"/>
            <w:tcBorders>
              <w:top w:val="single" w:sz="8" w:color="CCEEFF"/>
            </w:tcBorders>
            <w:gridSpan w:val="7"/>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101.SCH</w:t>
            </w:r>
          </w:p>
        </w:tc>
        <w:tc>
          <w:tcPr>
            <w:tcW w:w="418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1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4180" w:type="dxa"/>
            <w:vAlign w:val="bottom"/>
            <w:gridSpan w:val="27"/>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418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1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1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4180" w:type="dxa"/>
            <w:vAlign w:val="bottom"/>
            <w:gridSpan w:val="27"/>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Document.</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4180" w:type="dxa"/>
            <w:vAlign w:val="bottom"/>
            <w:gridSpan w:val="2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4"/>
        </w:trPr>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1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bl>
    <w:p>
      <w:pPr>
        <w:ind w:left="1140" w:right="6280" w:hanging="1132"/>
        <w:spacing w:after="0" w:line="260"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ectPr>
          <w:pgSz w:w="11900" w:h="16838" w:orient="portrait"/>
          <w:cols w:equalWidth="0" w:num="1">
            <w:col w:w="11240"/>
          </w:cols>
          <w:pgMar w:left="320" w:top="657" w:right="339"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NANO NUCLEAR ENERGY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James Walker</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James Walker</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Jaisun Garcha</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Jaisun Garcha</w:t>
            </w: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Walker, hereby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Walker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Walker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Jaisun Garcha, hereby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Nano Nuclear Energy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second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Jaisun Garcha</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Jaisun Garcha</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Nano Nuclear Energy Inc., a Nevada corporation (the “Company”) for the quarterly period ended March 31, 2026, as filed with the Securities and Exchange Commission on the date hereof (the “Report”), I, James Walker,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James Walker</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Walker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Nano Nuclear Energy Inc., a Nevada corporation (the “Company”) for the quarterly period ended March 31, 2026, as filed with the Securities and Exchange Commission on the date hereof (the “Report”), I, Jaisun Garcha,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Jaisun Garcha</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Jaisun Garcha</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or otherwise subject to the liability of that section. Such certification will not be deemed to be incorporated by reference into any filing under the Securities Act or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52" Type="http://schemas.openxmlformats.org/officeDocument/2006/relationships/hyperlink" Target="https://www.sec.gov/Archives/edgar/data/1923891/000149315224010521/ex3-1.htm" TargetMode="External"/><Relationship Id="rId53" Type="http://schemas.openxmlformats.org/officeDocument/2006/relationships/hyperlink" Target="https://www.sec.gov/Archives/edgar/data/1923891/000149315224010521/ex3-2.htm" TargetMode="External"/><Relationship Id="rId54" Type="http://schemas.openxmlformats.org/officeDocument/2006/relationships/hyperlink" Target="https://www.sec.gov/Archives/edgar/data/1923891/000149315224010521/ex3-3.htm" TargetMode="External"/><Relationship Id="rId55" Type="http://schemas.openxmlformats.org/officeDocument/2006/relationships/hyperlink" Target="https://www.sec.gov/Archives/edgar/data/1923891/000149315224018971/ex4-1.htm" TargetMode="External"/><Relationship Id="rId56" Type="http://schemas.openxmlformats.org/officeDocument/2006/relationships/hyperlink" Target="https://www.sec.gov/Archives/edgar/data/1923891/000149315224027876/ex4-2.htm" TargetMode="External"/><Relationship Id="rId57" Type="http://schemas.openxmlformats.org/officeDocument/2006/relationships/hyperlink" Target="https://www.sec.gov/Archives/edgar/data/1923891/000149315224027876/ex4-3.htm" TargetMode="External"/><Relationship Id="rId58" Type="http://schemas.openxmlformats.org/officeDocument/2006/relationships/hyperlink" Target="https://www.sec.gov/Archives/edgar/data/1923891/000149315224042558/ex4-2.htm" TargetMode="External"/><Relationship Id="rId59" Type="http://schemas.openxmlformats.org/officeDocument/2006/relationships/hyperlink" Target="https://www.sec.gov/Archives/edgar/data/1923891/000149315224042558/ex4-1.htm" TargetMode="External"/><Relationship Id="rId60" Type="http://schemas.openxmlformats.org/officeDocument/2006/relationships/hyperlink" Target="https://www.sec.gov/Archives/edgar/data/1923891/000149315224048054/ex4-1.htm" TargetMode="External"/><Relationship Id="rId61" Type="http://schemas.openxmlformats.org/officeDocument/2006/relationships/hyperlink" Target="https://www.sec.gov/Archives/edgar/data/1923891/000149315224010521/ex10-8.htm" TargetMode="External"/><Relationship Id="rId62" Type="http://schemas.openxmlformats.org/officeDocument/2006/relationships/hyperlink" Target="https://www.sec.gov/Archives/edgar/data/1923891/000149315224010521/ex10-9.htm" TargetMode="External"/><Relationship Id="rId63" Type="http://schemas.openxmlformats.org/officeDocument/2006/relationships/hyperlink" Target="https://www.sec.gov/Archives/edgar/data/1923891/000149315224010521/ex10-10.htm" TargetMode="External"/><Relationship Id="rId64" Type="http://schemas.openxmlformats.org/officeDocument/2006/relationships/hyperlink" Target="https://www.sec.gov/Archives/edgar/data/1923891/000149315224010521/ex10-11.htm" TargetMode="External"/><Relationship Id="rId65" Type="http://schemas.openxmlformats.org/officeDocument/2006/relationships/hyperlink" Target="https://www.sec.gov/Archives/edgar/data/1923891/000149315225008757/formdef14a.htm#f_010" TargetMode="External"/><Relationship Id="rId66" Type="http://schemas.openxmlformats.org/officeDocument/2006/relationships/hyperlink" Target="https://www.sec.gov/Archives/edgar/data/1923891/000164117225012866/ex10-1.htm" TargetMode="External"/><Relationship Id="rId67" Type="http://schemas.openxmlformats.org/officeDocument/2006/relationships/hyperlink" Target="https://www.sec.gov/Archives/edgar/data/1923891/000164117225012866/ex10-2.htm" TargetMode="External"/><Relationship Id="rId68" Type="http://schemas.openxmlformats.org/officeDocument/2006/relationships/hyperlink" Target="https://www.sec.gov/Archives/edgar/data/1923891/000164117225012866/ex10-3.htm" TargetMode="External"/><Relationship Id="rId69" Type="http://schemas.openxmlformats.org/officeDocument/2006/relationships/hyperlink" Target="https://www.sec.gov/Archives/edgar/data/1923891/000149315225017769/ex10-1.htm" TargetMode="External"/><Relationship Id="rId70" Type="http://schemas.openxmlformats.org/officeDocument/2006/relationships/hyperlink" Target="https://www.sec.gov/Archives/edgar/data/1923891/000149315225017769/ex10-2.htm" TargetMode="External"/><Relationship Id="rId71" Type="http://schemas.openxmlformats.org/officeDocument/2006/relationships/hyperlink" Target="https://www.sec.gov/Archives/edgar/data/1923891/000149315226005308/ex10-1.htm" TargetMode="External"/><Relationship Id="rId72" Type="http://schemas.openxmlformats.org/officeDocument/2006/relationships/hyperlink" Target="https://www.sec.gov/Archives/edgar/data/1923891/000149315226005308/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2026-05-14T15:20:59Z</dcterms:created>
  <dcterms:modified xsi:type="dcterms:W3CDTF">2026-05-14T15:20:59Z</dcterms:modified>
</cp:coreProperties>
</file>