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6997065" cy="638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6389370"/>
                    </a:xfrm>
                    <a:prstGeom prst="rect">
                      <a:avLst/>
                    </a:prstGeom>
                    <a:noFill/>
                  </pic:spPr>
                </pic:pic>
              </a:graphicData>
            </a:graphic>
          </wp:anchor>
        </w:drawing>
      </w:r>
    </w:p>
    <w:p>
      <w:pPr>
        <w:spacing w:after="0" w:line="1216"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I Financial Ventures Group LLC</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10 TIMES SQUARE, 30TH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Nano Nuclear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NNE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06/03/2026</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9"/>
        <w:spacing w:after="0"/>
        <w:tabs>
          <w:tab w:leader="none" w:pos="1730"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01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2" w:lineRule="exact"/>
        <w:rPr>
          <w:sz w:val="24"/>
          <w:szCs w:val="24"/>
          <w:color w:val="auto"/>
        </w:rPr>
      </w:pPr>
    </w:p>
    <w:p>
      <w:pPr>
        <w:sectPr>
          <w:pgSz w:w="11900" w:h="16838" w:orient="portrait"/>
          <w:cols w:equalWidth="0" w:num="3">
            <w:col w:w="3180" w:space="720"/>
            <w:col w:w="3111" w:space="720"/>
            <w:col w:w="3349"/>
          </w:cols>
          <w:pgMar w:left="460" w:top="215" w:right="359" w:bottom="0" w:gutter="0" w:footer="0" w:header="0"/>
          <w:type w:val="continuous"/>
        </w:sectPr>
      </w:pPr>
    </w:p>
    <w:p>
      <w:pPr>
        <w:spacing w:after="0" w:line="226"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10018</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4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spacing w:after="0"/>
              <w:rPr>
                <w:sz w:val="20"/>
                <w:szCs w:val="20"/>
                <w:color w:val="auto"/>
              </w:rPr>
            </w:pPr>
            <w:r>
              <w:rPr>
                <w:rFonts w:ascii="Arial" w:cs="Arial" w:eastAsia="Arial" w:hAnsi="Arial"/>
                <w:sz w:val="11"/>
                <w:szCs w:val="11"/>
                <w:b w:val="1"/>
                <w:bCs w:val="1"/>
                <w:color w:val="auto"/>
              </w:rPr>
              <w:t>Of (D) (Instr. 3, 4 and 5)</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60" w:type="dxa"/>
            <w:vAlign w:val="bottom"/>
            <w:gridSpan w:val="2"/>
          </w:tcPr>
          <w:p>
            <w:pPr>
              <w:jc w:val="center"/>
              <w:ind w:left="467"/>
              <w:spacing w:after="0"/>
              <w:rPr>
                <w:sz w:val="20"/>
                <w:szCs w:val="20"/>
                <w:color w:val="auto"/>
              </w:rPr>
            </w:pPr>
            <w:r>
              <w:rPr>
                <w:rFonts w:ascii="Arial" w:cs="Arial" w:eastAsia="Arial" w:hAnsi="Arial"/>
                <w:sz w:val="11"/>
                <w:szCs w:val="11"/>
                <w:b w:val="1"/>
                <w:bCs w:val="1"/>
                <w:color w:val="auto"/>
              </w:rPr>
              <w:t>(Month/Day/Year)</w:t>
            </w: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w w:val="99"/>
              </w:rPr>
              <w:t>(Month/Day/Year)</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8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06/03/2026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8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312,553</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26.2987</w:t>
            </w:r>
            <w:r>
              <w:rPr>
                <w:rFonts w:ascii="Times New Roman" w:cs="Times New Roman" w:eastAsia="Times New Roman" w:hAnsi="Times New Roman"/>
                <w:sz w:val="20"/>
                <w:szCs w:val="20"/>
                <w:color w:val="008000"/>
                <w:w w:val="96"/>
                <w:vertAlign w:val="superscript"/>
              </w:rPr>
              <w:t>(3)</w:t>
            </w:r>
          </w:p>
        </w:tc>
        <w:tc>
          <w:tcPr>
            <w:tcW w:w="1240" w:type="dxa"/>
            <w:vAlign w:val="bottom"/>
            <w:tcBorders>
              <w:bottom w:val="single" w:sz="8" w:color="2C2C2C"/>
            </w:tcBorders>
            <w:gridSpan w:val="3"/>
          </w:tcPr>
          <w:p>
            <w:pPr>
              <w:jc w:val="right"/>
              <w:ind w:right="223"/>
              <w:spacing w:after="0"/>
              <w:rPr>
                <w:sz w:val="20"/>
                <w:szCs w:val="20"/>
                <w:color w:val="auto"/>
              </w:rPr>
            </w:pPr>
            <w:r>
              <w:rPr>
                <w:rFonts w:ascii="Times New Roman" w:cs="Times New Roman" w:eastAsia="Times New Roman" w:hAnsi="Times New Roman"/>
                <w:sz w:val="16"/>
                <w:szCs w:val="16"/>
                <w:color w:val="0000FF"/>
              </w:rPr>
              <w:t>8,411,447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06/03/2026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8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168,626</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27.1617</w:t>
            </w:r>
            <w:r>
              <w:rPr>
                <w:rFonts w:ascii="Times New Roman" w:cs="Times New Roman" w:eastAsia="Times New Roman" w:hAnsi="Times New Roman"/>
                <w:sz w:val="20"/>
                <w:szCs w:val="20"/>
                <w:color w:val="008000"/>
                <w:w w:val="96"/>
                <w:vertAlign w:val="superscript"/>
              </w:rPr>
              <w:t>(4)</w:t>
            </w:r>
          </w:p>
        </w:tc>
        <w:tc>
          <w:tcPr>
            <w:tcW w:w="1240" w:type="dxa"/>
            <w:vAlign w:val="bottom"/>
            <w:tcBorders>
              <w:bottom w:val="single" w:sz="8" w:color="2C2C2C"/>
            </w:tcBorders>
            <w:gridSpan w:val="3"/>
          </w:tcPr>
          <w:p>
            <w:pPr>
              <w:jc w:val="right"/>
              <w:ind w:right="223"/>
              <w:spacing w:after="0"/>
              <w:rPr>
                <w:sz w:val="20"/>
                <w:szCs w:val="20"/>
                <w:color w:val="auto"/>
              </w:rPr>
            </w:pPr>
            <w:r>
              <w:rPr>
                <w:rFonts w:ascii="Times New Roman" w:cs="Times New Roman" w:eastAsia="Times New Roman" w:hAnsi="Times New Roman"/>
                <w:sz w:val="16"/>
                <w:szCs w:val="16"/>
                <w:color w:val="0000FF"/>
              </w:rPr>
              <w:t>8,242,821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06/03/2026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8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10,035</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27.8327</w:t>
            </w:r>
            <w:r>
              <w:rPr>
                <w:rFonts w:ascii="Times New Roman" w:cs="Times New Roman" w:eastAsia="Times New Roman" w:hAnsi="Times New Roman"/>
                <w:sz w:val="20"/>
                <w:szCs w:val="20"/>
                <w:color w:val="008000"/>
                <w:w w:val="96"/>
                <w:vertAlign w:val="superscript"/>
              </w:rPr>
              <w:t>(5)</w:t>
            </w:r>
          </w:p>
        </w:tc>
        <w:tc>
          <w:tcPr>
            <w:tcW w:w="1240" w:type="dxa"/>
            <w:vAlign w:val="bottom"/>
            <w:tcBorders>
              <w:bottom w:val="single" w:sz="8" w:color="2C2C2C"/>
            </w:tcBorders>
            <w:gridSpan w:val="3"/>
          </w:tcPr>
          <w:p>
            <w:pPr>
              <w:jc w:val="right"/>
              <w:ind w:right="223"/>
              <w:spacing w:after="0"/>
              <w:rPr>
                <w:sz w:val="20"/>
                <w:szCs w:val="20"/>
                <w:color w:val="auto"/>
              </w:rPr>
            </w:pPr>
            <w:r>
              <w:rPr>
                <w:rFonts w:ascii="Times New Roman" w:cs="Times New Roman" w:eastAsia="Times New Roman" w:hAnsi="Times New Roman"/>
                <w:sz w:val="16"/>
                <w:szCs w:val="16"/>
                <w:color w:val="0000FF"/>
              </w:rPr>
              <w:t>8,232,786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06/03/2026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8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3,571</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28.9772</w:t>
            </w:r>
            <w:r>
              <w:rPr>
                <w:rFonts w:ascii="Times New Roman" w:cs="Times New Roman" w:eastAsia="Times New Roman" w:hAnsi="Times New Roman"/>
                <w:sz w:val="20"/>
                <w:szCs w:val="20"/>
                <w:color w:val="008000"/>
                <w:w w:val="96"/>
                <w:vertAlign w:val="superscript"/>
              </w:rPr>
              <w:t>(6)</w:t>
            </w:r>
          </w:p>
        </w:tc>
        <w:tc>
          <w:tcPr>
            <w:tcW w:w="1240" w:type="dxa"/>
            <w:vAlign w:val="bottom"/>
            <w:tcBorders>
              <w:bottom w:val="single" w:sz="8" w:color="2C2C2C"/>
            </w:tcBorders>
            <w:gridSpan w:val="3"/>
          </w:tcPr>
          <w:p>
            <w:pPr>
              <w:jc w:val="right"/>
              <w:ind w:right="223"/>
              <w:spacing w:after="0"/>
              <w:rPr>
                <w:sz w:val="20"/>
                <w:szCs w:val="20"/>
                <w:color w:val="auto"/>
              </w:rPr>
            </w:pPr>
            <w:r>
              <w:rPr>
                <w:rFonts w:ascii="Times New Roman" w:cs="Times New Roman" w:eastAsia="Times New Roman" w:hAnsi="Times New Roman"/>
                <w:sz w:val="16"/>
                <w:szCs w:val="16"/>
                <w:color w:val="0000FF"/>
              </w:rPr>
              <w:t>8,229,215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06/03/2026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8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5,215</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7"/>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29.91</w:t>
            </w:r>
            <w:r>
              <w:rPr>
                <w:rFonts w:ascii="Times New Roman" w:cs="Times New Roman" w:eastAsia="Times New Roman" w:hAnsi="Times New Roman"/>
                <w:sz w:val="20"/>
                <w:szCs w:val="20"/>
                <w:color w:val="008000"/>
                <w:w w:val="95"/>
                <w:vertAlign w:val="superscript"/>
              </w:rPr>
              <w:t>(7)</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23"/>
              <w:spacing w:after="0"/>
              <w:rPr>
                <w:sz w:val="20"/>
                <w:szCs w:val="20"/>
                <w:color w:val="auto"/>
              </w:rPr>
            </w:pPr>
            <w:r>
              <w:rPr>
                <w:rFonts w:ascii="Times New Roman" w:cs="Times New Roman" w:eastAsia="Times New Roman" w:hAnsi="Times New Roman"/>
                <w:sz w:val="16"/>
                <w:szCs w:val="16"/>
                <w:color w:val="0000FF"/>
              </w:rPr>
              <w:t>8,224,000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06/03/2026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86"/>
              <w:spacing w:after="0"/>
              <w:rPr>
                <w:sz w:val="20"/>
                <w:szCs w:val="20"/>
                <w:color w:val="auto"/>
              </w:rPr>
            </w:pPr>
            <w:r>
              <w:rPr>
                <w:rFonts w:ascii="Times New Roman" w:cs="Times New Roman" w:eastAsia="Times New Roman" w:hAnsi="Times New Roman"/>
                <w:sz w:val="25"/>
                <w:szCs w:val="25"/>
                <w:color w:val="0000FF"/>
                <w:w w:val="90"/>
                <w:vertAlign w:val="subscript"/>
              </w:rPr>
              <w:t>M</w:t>
            </w:r>
            <w:r>
              <w:rPr>
                <w:rFonts w:ascii="Times New Roman" w:cs="Times New Roman" w:eastAsia="Times New Roman" w:hAnsi="Times New Roman"/>
                <w:sz w:val="10"/>
                <w:szCs w:val="10"/>
                <w:color w:val="008000"/>
                <w:w w:val="9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200,000</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7"/>
              <w:spacing w:after="0" w:line="302" w:lineRule="exact"/>
              <w:rPr>
                <w:sz w:val="20"/>
                <w:szCs w:val="20"/>
                <w:color w:val="auto"/>
              </w:rPr>
            </w:pPr>
            <w:r>
              <w:rPr>
                <w:rFonts w:ascii="Arial" w:cs="Arial" w:eastAsia="Arial" w:hAnsi="Arial"/>
                <w:sz w:val="32"/>
                <w:szCs w:val="32"/>
                <w:color w:val="000000"/>
                <w:w w:val="87"/>
                <w:vertAlign w:val="subscript"/>
              </w:rPr>
              <w:t>$</w:t>
            </w:r>
            <w:r>
              <w:rPr>
                <w:rFonts w:ascii="Times New Roman" w:cs="Times New Roman" w:eastAsia="Times New Roman" w:hAnsi="Times New Roman"/>
                <w:sz w:val="32"/>
                <w:szCs w:val="32"/>
                <w:color w:val="0000FF"/>
                <w:w w:val="87"/>
                <w:vertAlign w:val="subscript"/>
              </w:rPr>
              <w:t>3</w:t>
            </w:r>
            <w:r>
              <w:rPr>
                <w:rFonts w:ascii="Times New Roman" w:cs="Times New Roman" w:eastAsia="Times New Roman" w:hAnsi="Times New Roman"/>
                <w:sz w:val="10"/>
                <w:szCs w:val="10"/>
                <w:color w:val="008000"/>
                <w:w w:val="87"/>
              </w:rPr>
              <w:t>(2)</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23"/>
              <w:spacing w:after="0"/>
              <w:rPr>
                <w:sz w:val="20"/>
                <w:szCs w:val="20"/>
                <w:color w:val="auto"/>
              </w:rPr>
            </w:pPr>
            <w:r>
              <w:rPr>
                <w:rFonts w:ascii="Times New Roman" w:cs="Times New Roman" w:eastAsia="Times New Roman" w:hAnsi="Times New Roman"/>
                <w:sz w:val="16"/>
                <w:szCs w:val="16"/>
                <w:color w:val="0000FF"/>
              </w:rPr>
              <w:t>8,424,000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06/03/2026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8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125,021</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26.2987</w:t>
            </w:r>
            <w:r>
              <w:rPr>
                <w:rFonts w:ascii="Times New Roman" w:cs="Times New Roman" w:eastAsia="Times New Roman" w:hAnsi="Times New Roman"/>
                <w:sz w:val="20"/>
                <w:szCs w:val="20"/>
                <w:color w:val="008000"/>
                <w:w w:val="96"/>
                <w:vertAlign w:val="superscript"/>
              </w:rPr>
              <w:t>(8)</w:t>
            </w:r>
          </w:p>
        </w:tc>
        <w:tc>
          <w:tcPr>
            <w:tcW w:w="1240" w:type="dxa"/>
            <w:vAlign w:val="bottom"/>
            <w:tcBorders>
              <w:bottom w:val="single" w:sz="8" w:color="2C2C2C"/>
            </w:tcBorders>
            <w:gridSpan w:val="3"/>
          </w:tcPr>
          <w:p>
            <w:pPr>
              <w:jc w:val="right"/>
              <w:ind w:right="223"/>
              <w:spacing w:after="0"/>
              <w:rPr>
                <w:sz w:val="20"/>
                <w:szCs w:val="20"/>
                <w:color w:val="auto"/>
              </w:rPr>
            </w:pPr>
            <w:r>
              <w:rPr>
                <w:rFonts w:ascii="Times New Roman" w:cs="Times New Roman" w:eastAsia="Times New Roman" w:hAnsi="Times New Roman"/>
                <w:sz w:val="16"/>
                <w:szCs w:val="16"/>
                <w:color w:val="0000FF"/>
              </w:rPr>
              <w:t>8,298,979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06/03/2026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8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67,451</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27.1617</w:t>
            </w:r>
            <w:r>
              <w:rPr>
                <w:rFonts w:ascii="Times New Roman" w:cs="Times New Roman" w:eastAsia="Times New Roman" w:hAnsi="Times New Roman"/>
                <w:sz w:val="20"/>
                <w:szCs w:val="20"/>
                <w:color w:val="008000"/>
                <w:w w:val="96"/>
                <w:vertAlign w:val="superscript"/>
              </w:rPr>
              <w:t>(9)</w:t>
            </w:r>
          </w:p>
        </w:tc>
        <w:tc>
          <w:tcPr>
            <w:tcW w:w="1240" w:type="dxa"/>
            <w:vAlign w:val="bottom"/>
            <w:tcBorders>
              <w:bottom w:val="single" w:sz="8" w:color="2C2C2C"/>
            </w:tcBorders>
            <w:gridSpan w:val="3"/>
          </w:tcPr>
          <w:p>
            <w:pPr>
              <w:jc w:val="right"/>
              <w:ind w:right="223"/>
              <w:spacing w:after="0"/>
              <w:rPr>
                <w:sz w:val="20"/>
                <w:szCs w:val="20"/>
                <w:color w:val="auto"/>
              </w:rPr>
            </w:pPr>
            <w:r>
              <w:rPr>
                <w:rFonts w:ascii="Times New Roman" w:cs="Times New Roman" w:eastAsia="Times New Roman" w:hAnsi="Times New Roman"/>
                <w:sz w:val="16"/>
                <w:szCs w:val="16"/>
                <w:color w:val="0000FF"/>
              </w:rPr>
              <w:t>8,231,528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06/03/2026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8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4,014</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27.8327</w:t>
            </w:r>
            <w:r>
              <w:rPr>
                <w:rFonts w:ascii="Times New Roman" w:cs="Times New Roman" w:eastAsia="Times New Roman" w:hAnsi="Times New Roman"/>
                <w:sz w:val="20"/>
                <w:szCs w:val="20"/>
                <w:color w:val="008000"/>
                <w:w w:val="96"/>
                <w:vertAlign w:val="superscript"/>
              </w:rPr>
              <w:t>(10)</w:t>
            </w:r>
          </w:p>
        </w:tc>
        <w:tc>
          <w:tcPr>
            <w:tcW w:w="1240" w:type="dxa"/>
            <w:vAlign w:val="bottom"/>
            <w:tcBorders>
              <w:bottom w:val="single" w:sz="8" w:color="2C2C2C"/>
            </w:tcBorders>
            <w:gridSpan w:val="3"/>
          </w:tcPr>
          <w:p>
            <w:pPr>
              <w:jc w:val="right"/>
              <w:ind w:right="223"/>
              <w:spacing w:after="0"/>
              <w:rPr>
                <w:sz w:val="20"/>
                <w:szCs w:val="20"/>
                <w:color w:val="auto"/>
              </w:rPr>
            </w:pPr>
            <w:r>
              <w:rPr>
                <w:rFonts w:ascii="Times New Roman" w:cs="Times New Roman" w:eastAsia="Times New Roman" w:hAnsi="Times New Roman"/>
                <w:sz w:val="16"/>
                <w:szCs w:val="16"/>
                <w:color w:val="0000FF"/>
              </w:rPr>
              <w:t>8,227,514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06/03/2026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8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1,429</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28.9772</w:t>
            </w:r>
            <w:r>
              <w:rPr>
                <w:rFonts w:ascii="Times New Roman" w:cs="Times New Roman" w:eastAsia="Times New Roman" w:hAnsi="Times New Roman"/>
                <w:sz w:val="20"/>
                <w:szCs w:val="20"/>
                <w:color w:val="008000"/>
                <w:w w:val="96"/>
                <w:vertAlign w:val="superscript"/>
              </w:rPr>
              <w:t>(11)</w:t>
            </w:r>
          </w:p>
        </w:tc>
        <w:tc>
          <w:tcPr>
            <w:tcW w:w="1240" w:type="dxa"/>
            <w:vAlign w:val="bottom"/>
            <w:tcBorders>
              <w:bottom w:val="single" w:sz="8" w:color="2C2C2C"/>
            </w:tcBorders>
            <w:gridSpan w:val="3"/>
          </w:tcPr>
          <w:p>
            <w:pPr>
              <w:jc w:val="right"/>
              <w:ind w:right="223"/>
              <w:spacing w:after="0"/>
              <w:rPr>
                <w:sz w:val="20"/>
                <w:szCs w:val="20"/>
                <w:color w:val="auto"/>
              </w:rPr>
            </w:pPr>
            <w:r>
              <w:rPr>
                <w:rFonts w:ascii="Times New Roman" w:cs="Times New Roman" w:eastAsia="Times New Roman" w:hAnsi="Times New Roman"/>
                <w:sz w:val="16"/>
                <w:szCs w:val="16"/>
                <w:color w:val="0000FF"/>
              </w:rPr>
              <w:t>8,226,085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06/03/2026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86"/>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2,085</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29.91</w:t>
            </w:r>
            <w:r>
              <w:rPr>
                <w:rFonts w:ascii="Times New Roman" w:cs="Times New Roman" w:eastAsia="Times New Roman" w:hAnsi="Times New Roman"/>
                <w:sz w:val="20"/>
                <w:szCs w:val="20"/>
                <w:color w:val="008000"/>
                <w:w w:val="95"/>
                <w:vertAlign w:val="superscript"/>
              </w:rPr>
              <w:t>(12)</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23"/>
              <w:spacing w:after="0"/>
              <w:rPr>
                <w:sz w:val="20"/>
                <w:szCs w:val="20"/>
                <w:color w:val="auto"/>
              </w:rPr>
            </w:pPr>
            <w:r>
              <w:rPr>
                <w:rFonts w:ascii="Times New Roman" w:cs="Times New Roman" w:eastAsia="Times New Roman" w:hAnsi="Times New Roman"/>
                <w:sz w:val="16"/>
                <w:szCs w:val="16"/>
                <w:color w:val="0000FF"/>
              </w:rPr>
              <w:t>8,224,000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w w:val="99"/>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 of</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2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3"/>
                <w:szCs w:val="13"/>
                <w:color w:val="0000FF"/>
              </w:rPr>
              <w:t>06/03/2026</w:t>
            </w:r>
          </w:p>
        </w:tc>
        <w:tc>
          <w:tcPr>
            <w:tcW w:w="1060" w:type="dxa"/>
            <w:vAlign w:val="bottom"/>
          </w:tcPr>
          <w:p>
            <w:pPr>
              <w:spacing w:after="0"/>
              <w:rPr>
                <w:sz w:val="15"/>
                <w:szCs w:val="15"/>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w w:val="89"/>
              </w:rPr>
              <w:t>200,000</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008000"/>
                <w:w w:val="85"/>
              </w:rPr>
              <w:t>(2)</w:t>
            </w:r>
          </w:p>
        </w:tc>
        <w:tc>
          <w:tcPr>
            <w:tcW w:w="760" w:type="dxa"/>
            <w:vAlign w:val="bottom"/>
            <w:vMerge w:val="restart"/>
          </w:tcPr>
          <w:p>
            <w:pPr>
              <w:ind w:left="400"/>
              <w:spacing w:after="0"/>
              <w:rPr>
                <w:sz w:val="20"/>
                <w:szCs w:val="20"/>
                <w:color w:val="auto"/>
              </w:rPr>
            </w:pPr>
            <w:r>
              <w:rPr>
                <w:rFonts w:ascii="Times New Roman" w:cs="Times New Roman" w:eastAsia="Times New Roman" w:hAnsi="Times New Roman"/>
                <w:sz w:val="10"/>
                <w:szCs w:val="10"/>
                <w:color w:val="008000"/>
              </w:rPr>
              <w:t>(2)</w:t>
            </w: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(2)</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w w:val="90"/>
              </w:rPr>
              <w:t>Common</w:t>
            </w: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200,000</w:t>
            </w:r>
          </w:p>
        </w:tc>
        <w:tc>
          <w:tcPr>
            <w:tcW w:w="60" w:type="dxa"/>
            <w:vAlign w:val="bottom"/>
          </w:tcPr>
          <w:p>
            <w:pPr>
              <w:spacing w:after="0"/>
              <w:rPr>
                <w:sz w:val="15"/>
                <w:szCs w:val="1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3"/>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(2)</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20" w:type="dxa"/>
            <w:vAlign w:val="bottom"/>
          </w:tcPr>
          <w:p>
            <w:pPr>
              <w:ind w:left="18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-1651000</wp:posOffset>
            </wp:positionV>
            <wp:extent cx="28575" cy="165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165608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through I Financial, in September 2025, and was executed in the account of I Financial.</w:t>
      </w:r>
    </w:p>
    <w:p>
      <w:pPr>
        <w:spacing w:after="0" w:line="39" w:lineRule="exact"/>
        <w:rPr>
          <w:rFonts w:ascii="Times New Roman" w:cs="Times New Roman" w:eastAsia="Times New Roman" w:hAnsi="Times New Roman"/>
          <w:sz w:val="13"/>
          <w:szCs w:val="13"/>
          <w:color w:val="008000"/>
        </w:rPr>
      </w:pPr>
    </w:p>
    <w:p>
      <w:pPr>
        <w:jc w:val="both"/>
        <w:ind w:left="40" w:right="260" w:hanging="2"/>
        <w:spacing w:after="0" w:line="23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issued upon exercise of certain options originally granted to the reporting person through I Financial (as defined below) at the exercise price of $3 per share, which were fully vested and exercisable on June 7, 2023, with expiry on June 7, 2026. On June 3, 2026, such options were exercised. The reporting person is the sole shareholder and director of I Financial Ventures Group LLC ("I Financial"), a limited liability company incorporated under the laws of Delaware, which is the record holder of the securities reported herein. The reporting person, as such, has investment control over the securities of the issuer held by I Financial and may be deemed the beneficial owner of such securities.</w:t>
      </w:r>
    </w:p>
    <w:p>
      <w:pPr>
        <w:spacing w:after="0" w:line="26" w:lineRule="exact"/>
        <w:rPr>
          <w:rFonts w:ascii="Times New Roman" w:cs="Times New Roman" w:eastAsia="Times New Roman" w:hAnsi="Times New Roman"/>
          <w:sz w:val="13"/>
          <w:szCs w:val="13"/>
          <w:color w:val="008000"/>
        </w:rPr>
      </w:pPr>
    </w:p>
    <w:p>
      <w:pPr>
        <w:ind w:left="40" w:right="18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$25.7000 to $26.6900.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2" w:lineRule="exact"/>
        <w:rPr>
          <w:rFonts w:ascii="Times New Roman" w:cs="Times New Roman" w:eastAsia="Times New Roman" w:hAnsi="Times New Roman"/>
          <w:sz w:val="13"/>
          <w:szCs w:val="13"/>
          <w:color w:val="008000"/>
        </w:rPr>
      </w:pPr>
    </w:p>
    <w:p>
      <w:pPr>
        <w:ind w:left="40" w:right="18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$26.7000 to $27.6900.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2" w:lineRule="exact"/>
        <w:rPr>
          <w:rFonts w:ascii="Times New Roman" w:cs="Times New Roman" w:eastAsia="Times New Roman" w:hAnsi="Times New Roman"/>
          <w:sz w:val="13"/>
          <w:szCs w:val="13"/>
          <w:color w:val="008000"/>
        </w:rPr>
      </w:pPr>
    </w:p>
    <w:p>
      <w:pPr>
        <w:ind w:left="40" w:right="18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$27.7200 to $28.3500.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2" w:lineRule="exact"/>
        <w:rPr>
          <w:rFonts w:ascii="Times New Roman" w:cs="Times New Roman" w:eastAsia="Times New Roman" w:hAnsi="Times New Roman"/>
          <w:sz w:val="13"/>
          <w:szCs w:val="13"/>
          <w:color w:val="008000"/>
        </w:rPr>
      </w:pPr>
    </w:p>
    <w:p>
      <w:pPr>
        <w:ind w:left="40" w:right="18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$28.7700 to $29.0500.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2" w:lineRule="exact"/>
        <w:rPr>
          <w:rFonts w:ascii="Times New Roman" w:cs="Times New Roman" w:eastAsia="Times New Roman" w:hAnsi="Times New Roman"/>
          <w:sz w:val="13"/>
          <w:szCs w:val="13"/>
          <w:color w:val="008000"/>
        </w:rPr>
      </w:pPr>
    </w:p>
    <w:p>
      <w:pPr>
        <w:ind w:left="40" w:right="42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at a price of $29.9100. The reporting person hereby undertakes to provide upon request to the SEC staff, the issuer or a security holder of the issuer full information regarding the number of shares and prices at which the transactions were effected.</w:t>
      </w:r>
    </w:p>
    <w:p>
      <w:pPr>
        <w:spacing w:after="0" w:line="22" w:lineRule="exact"/>
        <w:rPr>
          <w:rFonts w:ascii="Times New Roman" w:cs="Times New Roman" w:eastAsia="Times New Roman" w:hAnsi="Times New Roman"/>
          <w:sz w:val="13"/>
          <w:szCs w:val="13"/>
          <w:color w:val="008000"/>
        </w:rPr>
      </w:pPr>
    </w:p>
    <w:p>
      <w:pPr>
        <w:ind w:left="40" w:right="18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$25.7000 to $26.6900.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2" w:lineRule="exact"/>
        <w:rPr>
          <w:rFonts w:ascii="Times New Roman" w:cs="Times New Roman" w:eastAsia="Times New Roman" w:hAnsi="Times New Roman"/>
          <w:sz w:val="13"/>
          <w:szCs w:val="13"/>
          <w:color w:val="008000"/>
        </w:rPr>
      </w:pPr>
    </w:p>
    <w:p>
      <w:pPr>
        <w:ind w:left="40" w:right="18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$26.7000 to $27.6900.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2" w:lineRule="exact"/>
        <w:rPr>
          <w:rFonts w:ascii="Times New Roman" w:cs="Times New Roman" w:eastAsia="Times New Roman" w:hAnsi="Times New Roman"/>
          <w:sz w:val="13"/>
          <w:szCs w:val="13"/>
          <w:color w:val="008000"/>
        </w:rPr>
      </w:pPr>
    </w:p>
    <w:p>
      <w:pPr>
        <w:ind w:left="40" w:right="400" w:hanging="2"/>
        <w:spacing w:after="0" w:line="245" w:lineRule="auto"/>
        <w:tabs>
          <w:tab w:leader="none" w:pos="2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$27.7200 to $28.3500.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2" w:right="40" w:hanging="2"/>
        <w:spacing w:after="0" w:line="245" w:lineRule="auto"/>
        <w:tabs>
          <w:tab w:leader="none" w:pos="18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$28.7700 to $29.0500.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2" w:lineRule="exact"/>
        <w:rPr>
          <w:rFonts w:ascii="Times New Roman" w:cs="Times New Roman" w:eastAsia="Times New Roman" w:hAnsi="Times New Roman"/>
          <w:sz w:val="13"/>
          <w:szCs w:val="13"/>
          <w:color w:val="008000"/>
        </w:rPr>
      </w:pPr>
    </w:p>
    <w:p>
      <w:pPr>
        <w:ind w:left="2" w:hanging="2"/>
        <w:spacing w:after="0" w:line="245"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at a price of $29.9100. The reporting person hereby undertakes to provide upon request to the SEC staff, the issuer or a security holder of the issuer full information regarding the number of shares and prices at which the transactions were effected.</w:t>
      </w:r>
    </w:p>
    <w:p>
      <w:pPr>
        <w:spacing w:after="0" w:line="4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 Jiang Yu, Sole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-4445</wp:posOffset>
            </wp:positionV>
            <wp:extent cx="1249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10" w:lineRule="exact"/>
        <w:rPr>
          <w:sz w:val="20"/>
          <w:szCs w:val="20"/>
          <w:color w:val="auto"/>
        </w:rPr>
      </w:pPr>
    </w:p>
    <w:p>
      <w:pPr>
        <w:ind w:left="6562"/>
        <w:spacing w:after="0"/>
        <w:tabs>
          <w:tab w:leader="none" w:pos="8741" w:val="left"/>
        </w:tabs>
        <w:rPr>
          <w:sz w:val="20"/>
          <w:szCs w:val="20"/>
          <w:color w:val="auto"/>
        </w:rPr>
      </w:pPr>
      <w:r>
        <w:rPr>
          <w:rFonts w:ascii="Times New Roman" w:cs="Times New Roman" w:eastAsia="Times New Roman" w:hAnsi="Times New Roman"/>
          <w:sz w:val="16"/>
          <w:szCs w:val="16"/>
          <w:color w:val="0000FF"/>
        </w:rPr>
        <w:t>and Director of I Financial</w:t>
      </w:r>
      <w:r>
        <w:rPr>
          <w:sz w:val="20"/>
          <w:szCs w:val="20"/>
          <w:color w:val="auto"/>
        </w:rPr>
        <w:tab/>
      </w: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-12065</wp:posOffset>
            </wp:positionV>
            <wp:extent cx="1872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726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Ventures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-12065</wp:posOffset>
            </wp:positionV>
            <wp:extent cx="8775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36" w:lineRule="exact"/>
        <w:rPr>
          <w:sz w:val="20"/>
          <w:szCs w:val="20"/>
          <w:color w:val="auto"/>
        </w:rPr>
      </w:pPr>
    </w:p>
    <w:p>
      <w:pPr>
        <w:ind w:left="6562"/>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420" w:hanging="2"/>
        <w:spacing w:after="0" w:line="328"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82"/>
      </w:cols>
      <w:pgMar w:left="498" w:top="12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011890" TargetMode="External"/><Relationship Id="rId14" Type="http://schemas.openxmlformats.org/officeDocument/2006/relationships/hyperlink" Target="http://www.sec.gov/cgi-bin/browse-edgar?action=getcompany&amp;CIK=00019238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2026-06-05T16:41:14Z</dcterms:created>
  <dcterms:modified xsi:type="dcterms:W3CDTF">2026-06-05T16:41:14Z</dcterms:modified>
</cp:coreProperties>
</file>