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8282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Heidet Florent</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TIMES SQUARE, 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Nano Nuclear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21"/>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180" w:type="dxa"/>
            <w:vAlign w:val="bottom"/>
          </w:tcPr>
          <w:p>
            <w:pPr>
              <w:spacing w:after="0"/>
              <w:rPr>
                <w:sz w:val="3"/>
                <w:szCs w:val="3"/>
                <w:color w:val="auto"/>
              </w:rPr>
            </w:pP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89"/>
              </w:rPr>
              <w:t>if any</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9,185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9,185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06/05/2026</w:t>
            </w:r>
          </w:p>
        </w:tc>
        <w:tc>
          <w:tcPr>
            <w:tcW w:w="4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3,000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24.9525</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6,185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1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Derivative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180" w:type="dxa"/>
            <w:vAlign w:val="bottom"/>
            <w:gridSpan w:val="2"/>
          </w:tcPr>
          <w:p>
            <w:pPr>
              <w:spacing w:after="0"/>
              <w:rPr>
                <w:sz w:val="20"/>
                <w:szCs w:val="20"/>
                <w:color w:val="auto"/>
              </w:rPr>
            </w:pPr>
            <w:r>
              <w:rPr>
                <w:rFonts w:ascii="Arial" w:cs="Arial" w:eastAsia="Arial" w:hAnsi="Arial"/>
                <w:sz w:val="12"/>
                <w:szCs w:val="12"/>
                <w:b w:val="1"/>
                <w:bCs w:val="1"/>
                <w:color w:val="auto"/>
                <w:w w:val="95"/>
              </w:rPr>
              <w:t>(D)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9,185</w:t>
            </w:r>
            <w:r>
              <w:rPr>
                <w:rFonts w:ascii="Times New Roman" w:cs="Times New Roman" w:eastAsia="Times New Roman" w:hAnsi="Times New Roman"/>
                <w:sz w:val="21"/>
                <w:szCs w:val="21"/>
                <w:color w:val="008000"/>
                <w:vertAlign w:val="superscript"/>
              </w:rPr>
              <w:t>(1)</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9,185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6"/>
                <w:szCs w:val="6"/>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29,647</w:t>
            </w:r>
          </w:p>
        </w:tc>
        <w:tc>
          <w:tcPr>
            <w:tcW w:w="260" w:type="dxa"/>
            <w:vAlign w:val="bottom"/>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21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-1856105</wp:posOffset>
            </wp:positionV>
            <wp:extent cx="29210" cy="1861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611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2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issued upon the vesting and settlement of certain Restricted Stock Units ("RSUs") granted on June 3, 2025 under the Issuer's 2025 Equity Incentive Plan based on a value per RSU of $29.18, the closing price of the Issuer's common stock as reported on The Nasdaq Capital Market on June 3, 2025. On June 3, 2026, such RSUs were vested and settled.</w:t>
      </w:r>
    </w:p>
    <w:p>
      <w:pPr>
        <w:spacing w:after="0" w:line="17" w:lineRule="exact"/>
        <w:rPr>
          <w:rFonts w:ascii="Times New Roman" w:cs="Times New Roman" w:eastAsia="Times New Roman" w:hAnsi="Times New Roman"/>
          <w:sz w:val="13"/>
          <w:szCs w:val="13"/>
          <w:color w:val="008000"/>
        </w:rPr>
      </w:pPr>
    </w:p>
    <w:p>
      <w:pPr>
        <w:ind w:left="40" w:right="2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$24.8500 to $25.0850.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Florent Heidet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06/05/2026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167" TargetMode="External"/><Relationship Id="rId14" Type="http://schemas.openxmlformats.org/officeDocument/2006/relationships/hyperlink" Target="http://www.sec.gov/cgi-bin/browse-edgar?action=getcompany&amp;CIK=00019238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2026-06-05T16:42:40Z</dcterms:created>
  <dcterms:modified xsi:type="dcterms:W3CDTF">2026-06-05T16:42:40Z</dcterms:modified>
</cp:coreProperties>
</file>