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Garcha Jaisun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TIMES SQUARE, 30TH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Nano Nuclear Energy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17,215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362,215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15,223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26.844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346,992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345,231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345,057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87,845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upon exercise of certain options originally granted to the reporting person at the exercise price of $3.00 per share, which were fully vested and exercisable on June 7, 2023, with expiry on June 7, 2026. On June 3, 2026, such options were exercised.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issued upon the settlement of certain Restricted Stock Units ("RSUs") granted on June 3, 2025 under the Issuer's 2025 Equity Incentive Plan based on a value per share of $29.18, the closing price of the Issuer's common stock as reported on The Nasdaq Capital Market on June 3, 2025. On June 3, 2026, one third (1/3) of such RSUs were vested and settled.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effected pursuant to a Rule 10b5-1 trading plan adopted by the reporting person in September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during the day at prices ranging from $25.7100 to $26.4300.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during the day at prices ranging from $26.4300 to $27.4000.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during the day at prices ranging from $27.4300 to $27.9400.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at a price of $28.8100.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at a price of $29.9100.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Jaisun Garcha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9680" TargetMode="External"/><Relationship Id="rId5" Type="http://schemas.openxmlformats.org/officeDocument/2006/relationships/hyperlink" Target="http://www.sec.gov/cgi-bin/browse-edgar?action=getcompany&amp;CIK=00019238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1060</Words>
  <Characters>5582</Characters>
  <CharactersWithSpaces>6529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