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Jiang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461,223</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461,223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October 1, 2026 ("Grant Date") under the Issuer's 2025 Equity Incentive Plan ("2025 Plan"); based on a value per RSU of $15.73, the closing price of the Issuer's common stock as reported on The Nasdaq Capital Market on October 1, 2026. Each RSU represents the right to receive one share of the Issuer's common stock, subject to the terms and conditions set forth in the award of such RSUs by the Issuer to the Reporting Person pursuant to a Restricted Stock Unit Award Agreement and the 2025 Plan. The RSUs shall vest in three equal installments, with one third (1/3) vesting on each of the first, second and third anniversary of the Grant Date, subject to the Reporting Person's continued service with the Issuer through each applicable vesting date. Any applicable fraction of an RSU that would otherwise be vested will be accumulated and will vest only when a whole RSU has accumulated.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Yu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118"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3866</Characters>
  <CharactersWithSpaces>4526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