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4000" w:right="2120" w:hanging="3992"/>
        <w:spacing w:after="0" w:line="50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September 30, 2025</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980" w:right="2400" w:hanging="297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UNDER SECTION 13 OR 15(d) OF THE SECURITIES EXCHANGE ACT OF 1934 </w:t>
      </w:r>
      <w:r>
        <w:rPr>
          <w:rFonts w:ascii="Times New Roman" w:cs="Times New Roman" w:eastAsia="Times New Roman" w:hAnsi="Times New Roman"/>
          <w:sz w:val="18"/>
          <w:szCs w:val="18"/>
          <w:color w:val="auto"/>
        </w:rPr>
        <w:t>For the transition period from _____________ to ___________________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001-42044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88-0861977</w:t>
            </w:r>
          </w:p>
        </w:tc>
      </w:tr>
      <w:tr>
        <w:trPr>
          <w:trHeight w:val="191"/>
        </w:trPr>
        <w:tc>
          <w:tcPr>
            <w:tcW w:w="4020" w:type="dxa"/>
            <w:vAlign w:val="bottom"/>
            <w:tcBorders>
              <w:top w:val="single" w:sz="8" w:color="auto"/>
            </w:tcBorders>
          </w:tcPr>
          <w:p>
            <w:pPr>
              <w:jc w:val="center"/>
              <w:ind w:left="14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020" w:type="dxa"/>
            <w:vAlign w:val="bottom"/>
          </w:tcPr>
          <w:p>
            <w:pPr>
              <w:spacing w:after="0"/>
              <w:rPr>
                <w:sz w:val="24"/>
                <w:szCs w:val="24"/>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7"/>
              </w:rPr>
              <w:t>10 Times Square, 30</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7"/>
              </w:rPr>
              <w:t>New York, New York 10018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634-9206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NNE</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last business day of the registrant’s most recently completed second fiscal quarter, the aggregate market value of its voting and non-voting common equity held by non-affiliates was $703,834,174 based on the last reported sale price of our common stock on The Nasdaq Capital Market, which was $26.46 per share on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16, 2025, there were 50,474,294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9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62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9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76"/>
        </w:trPr>
        <w:tc>
          <w:tcPr>
            <w:tcW w:w="66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320" w:type="dxa"/>
            <w:vAlign w:val="bottom"/>
            <w:tcBorders>
              <w:top w:val="single" w:sz="8" w:color="CCEEFF"/>
            </w:tcBorders>
            <w:gridSpan w:val="2"/>
          </w:tcPr>
          <w:p>
            <w:pPr>
              <w:spacing w:after="0"/>
              <w:rPr>
                <w:sz w:val="15"/>
                <w:szCs w:val="15"/>
                <w:color w:val="auto"/>
              </w:rPr>
            </w:pPr>
          </w:p>
        </w:tc>
        <w:tc>
          <w:tcPr>
            <w:tcW w:w="962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5"/>
        </w:trPr>
        <w:tc>
          <w:tcPr>
            <w:tcW w:w="98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4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Section 27A of the Securities Act of 1933, as amended, Section 21E of the Securities Exchange Act of 1934, as amended, and the Private Securities Litigation Reform Act of 1995, which involve risks and uncertainties. Forward-looking statements generally relate to future events or our future financial or operating performance and may include statements concerning, among other things, financial results; business plans; future liabilities and other obligations; impairments and amortization; estimates of the financial impact of certain items, accounting treatment, events or circumstances; and capital allocation. Our actual results could differ materially and adversely from those anticipated in the forward-looking statements for many reasons, including the reasons described in our “Business,” “Risk Factors,” and “Management Discussion and Analysis of Financial Condition and Result of Operations” sections, as well as those discussed elsewhere in this Report. In some cases, you can identify these forward-looking statements by terms such as “anticipate,” “seek,” “believe,” “continue,” “could,” “depends,” “estimate,” “expects,” “intend,” “may,” “ongoing,” “plan,” “potential,” “predict,” “project,” “should,” “will,” “would,” “assumption” or “judgment” or the negative of those terms or other similar expressions, although not all forward-looking statements contain those words.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present our estimates and assumptions only as of the date of this Report and are subject to several known and unknown risks, uncertainties, and assumptions. Accordingly, you are cautioned not to place undue reliance on forward-looking statements, which speak only as of the dates on which they are made. Important factors that could cause actual results to differ materially from those in the forward-looking statements include, but are not limited to, those challenges and factors summarized below:</w:t>
      </w:r>
    </w:p>
    <w:p>
      <w:pPr>
        <w:spacing w:after="0" w:line="180"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demonstrate, obtain regulatory approval for and ultimately sell our proposed nuclear reactors or other products, technologies or services we are developing.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necessary fuel and material supply chain to power our next generation of advanced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required transportation capabilities to move our reactors, their fuel, and other special materials critical to the commercial deployment of our reactor systems.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internally, and to externally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key third party collaborators including, without limitation, The University of Illinois Urbana-Champaign, to perform their obligations to us and meet goals and timelines as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 or other products, technologies or services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complex and time-consuming nuclear regulatory regimes in the jurisdictions we operate, including unanticipated regulations or regulatory failures that could add barriers, time and cost to our business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expenses, capital requirements, revenue potential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pre-revenue company in a rapidly evolving, complex and highly competitive industry with a business model that is still being developed and is largely untested.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 significant disruption in our information technology system, including security breaches, or our ability to implement new system and software successfully.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identified in this Report including, without limitation,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as such factors may be updated from time to time in our other filings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A forward-looking statement is neither a prediction nor a guarantee of future events or circumstances. You should not place undue reliance on the forward-looking statements. Except as required by law, we undertake no obligation to update or revise any of the forward-looking statements, whether as a result of new information, future events or otherwise, after the date on which the statements are made or to reflect the occurrence of unanticipated events.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“we,” “us,” “our,” “our company,” “the Company” or similar terminology refer to NANO Nuclear Energy Inc., including its consolidated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SIGNIFICANT RISKS</w:t>
      </w:r>
    </w:p>
    <w:p>
      <w:pPr>
        <w:spacing w:after="0" w:line="229" w:lineRule="exact"/>
        <w:rPr>
          <w:sz w:val="20"/>
          <w:szCs w:val="20"/>
          <w:color w:val="auto"/>
        </w:rPr>
      </w:pPr>
    </w:p>
    <w:p>
      <w:pPr>
        <w:jc w:val="both"/>
        <w:ind w:firstLine="734"/>
        <w:spacing w:after="0" w:line="266"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as of the date of the filing of this Annual Report on Form 10-K that could materially adversely affect our business, financial condition and results of operations. You should read this summary together with the more detailed description of each risk factor contained in the “Risk Factors” section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 and Business</w:t>
      </w:r>
    </w:p>
    <w:p>
      <w:pPr>
        <w:spacing w:after="0" w:line="229"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have not generated any revenue since our inception. We anticipate that we will continue to incur losses, and expect that we will not generate meaningful revenue for the foreseeable future.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pre-revenue company in an emerging market with an unproven business model, new and unproven technologies, and a short operating history, which makes it difficult to evaluate our current business and prospects and may increase the risk of your investment.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officers and directors are presently parties to securities law and fiduciary duty lawsuits relating to our public statements made since our initial public offering. Our reputation may be damaged by these suits, and if we are unable to have them dismissed or should we receive adverse outcomes, our business and results of operations may suffer, including as a result of our indemnification obligations to our directors and officers.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production and commercialization of our nuclear microreactors as planned, including within the timelines we currently anticipate, will adversely and materially affect our business, financial condition, and result of operations.</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developing nuclear fuel facilities designed to supply products and materials necessary for the successful operation of the growing advanced nuclear energy industry. The failure of completion and operation of any such facility as planned will adversely and materially affect our business, financial condition, and result of operations.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produce a regulatorily licensed, high-capacity HALEU transportation system, capable of moving commercial quantities of HALEU fuel around North America and worldwide. The failure of production and commercialization of such products as planned will adversely and materially affect our business, financial condition, and result of operations.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will continue to pursue strategic acquisitions. These acquisitions may be difficult to consummate and integrate and may create losses for us or not provide us with the anticipated benefits. We may not be able to successfully integrate our previous and future acquisitions or generate sufficient revenues or earnings from future acquisitions, which could cause our business to suffer.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our executive officers are presently engaged by us on an independent contractor basis, and two of our executive officers are engaged by us as</w:t>
      </w:r>
    </w:p>
    <w:p>
      <w:pPr>
        <w:spacing w:after="0" w:line="2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employees. Jay Jiang Yu, our founder, President, Secretary and Treasurer, and Chairman of the Board, and Dr. Florent Heidet, our Chief Technology Officer and Head of Reactor Development, are employed under employment agreements. Almost all of our executive officers have management, advisory or directorship positions with other companies and may allocate their time to other businesses, which may pose certain risks in fulfilling their obligations with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gain approval for, protect or enforce our intellectual property or proprietary rights, our business and operating results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unpatented proprietary technology, trade secrets, designs, experiences, work flows, data, processes, software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accused of infringing intellectual property rights of third parties and be subject to content restrictions under relevant laws, which may materially and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 and Compliance</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variety of extensive and evolving government laws and regulations. Changes in and/or failure to comply with such laws and regulations could have a material adverse effect on our business.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Associated with Our Company</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could be harmed.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significantly increasing costs as a result of, and devote substantial management time to operating as,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we cannot be certain if the reduced reporting and disclosure requirements applicable to emerging growth companies will make our common stock less attractive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common stock is relatively new, and consistently robust and liquid trading market may not develop or be sustained over the long term.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has been and may continue to be volatile, and you could lose all or part of your investment.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stock price and trading volume could decline.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or warrants exercisable for our common stock may depress our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will continue to have substantial control over our company, which could limit your ability to influence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equity securities in the future, your ownership in us could be diluted.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declaring any cash dividends on our common stock, which may adversely impact the market price of our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could depress the market price of our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number of authorized shares of our common stock available for issuance which may limit our ability to issue securities in connection with capital raises for acquisitions or strategic partnerships or as compensation to our employees and directors in the future, unless we obtain stockholder approval to amend our amended articles of incorporation, referred to herein as our charter. Our inability to issue shares of our common stock could materially adversely affect our business and strategy.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501" w:gutter="0" w:footer="0" w:header="0"/>
        </w:sectPr>
      </w:pPr>
    </w:p>
    <w:bookmarkStart w:id="6" w:name="page7"/>
    <w:bookmarkEnd w:id="6"/>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nuclear energy and technology company, developing smaller, simpler, and safer advanced clean energy solutions, utilizing proprietary reactor designs, intellectual property, and research methods, to contribute towards a sustainable future. Led by a world class scientific and management team,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the nuclear energy fuel supply chain, technology development, and nuclear consulting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Currently, we are in the pre-revenue stage and are principally focused on four business lines as part of our development strategy:</w:t>
      </w:r>
    </w:p>
    <w:p>
      <w:pPr>
        <w:spacing w:after="0" w:line="221" w:lineRule="exact"/>
        <w:rPr>
          <w:sz w:val="20"/>
          <w:szCs w:val="20"/>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Reactor Business. </w:t>
      </w:r>
      <w:r>
        <w:rPr>
          <w:rFonts w:ascii="Times New Roman" w:cs="Times New Roman" w:eastAsia="Times New Roman" w:hAnsi="Times New Roman"/>
          <w:sz w:val="18"/>
          <w:szCs w:val="18"/>
          <w:color w:val="auto"/>
        </w:rPr>
        <w:t>We are developing the next generation of advanced nuclear microreactors, with our principal focus centered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KRONOS MMR™ Energy System</w:t>
      </w:r>
      <w:r>
        <w:rPr>
          <w:rFonts w:ascii="Times New Roman" w:cs="Times New Roman" w:eastAsia="Times New Roman" w:hAnsi="Times New Roman"/>
          <w:sz w:val="18"/>
          <w:szCs w:val="18"/>
          <w:color w:val="auto"/>
        </w:rPr>
        <w:t>. This high technology readiness level (or TRL), high-temperature gas-cooled reactor (or HTGR),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Tristructural-Isotropic (or TRISO) fueled reactor is designed for both small- and large-scale operations, optimizing between size and output to allow for modularity and easier mass manufacturing, and efficient scalable energy generation.</w:t>
      </w:r>
    </w:p>
    <w:p>
      <w:pPr>
        <w:spacing w:after="0" w:line="176"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portfolio of reactors also includes the </w:t>
      </w:r>
      <w:r>
        <w:rPr>
          <w:rFonts w:ascii="Times New Roman" w:cs="Times New Roman" w:eastAsia="Times New Roman" w:hAnsi="Times New Roman"/>
          <w:sz w:val="18"/>
          <w:szCs w:val="18"/>
          <w:b w:val="1"/>
          <w:bCs w:val="1"/>
          <w:color w:val="auto"/>
        </w:rPr>
        <w:t>LOKI MMR™ reactor</w:t>
      </w:r>
      <w:r>
        <w:rPr>
          <w:rFonts w:ascii="Times New Roman" w:cs="Times New Roman" w:eastAsia="Times New Roman" w:hAnsi="Times New Roman"/>
          <w:sz w:val="18"/>
          <w:szCs w:val="18"/>
          <w:color w:val="auto"/>
        </w:rPr>
        <w:t xml:space="preserve">, a portable nuclear reactor designed for versatility in application and deployment which is also a HTGR utilizing TRISO fuel, and </w:t>
      </w:r>
      <w:r>
        <w:rPr>
          <w:rFonts w:ascii="Times New Roman" w:cs="Times New Roman" w:eastAsia="Times New Roman" w:hAnsi="Times New Roman"/>
          <w:sz w:val="18"/>
          <w:szCs w:val="18"/>
          <w:b w:val="1"/>
          <w:bCs w:val="1"/>
          <w:color w:val="auto"/>
        </w:rPr>
        <w:t>ZEUS™ reactor</w:t>
      </w:r>
      <w:r>
        <w:rPr>
          <w:rFonts w:ascii="Times New Roman" w:cs="Times New Roman" w:eastAsia="Times New Roman" w:hAnsi="Times New Roman"/>
          <w:sz w:val="18"/>
          <w:szCs w:val="18"/>
          <w:color w:val="auto"/>
        </w:rPr>
        <w:t>, a portable modular solid core battery reactor.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the most time and resources to such product. However, this timeline is subject to various uncertainties, including ongoing planning and development activities, as well as potential regulatory, operational, and market-related factors, any of which may materially affect both the feasibility and timing of the launch. Accordingly, there can be no assurance that we will be able to launch the business as currently anticipated, or that such launch will occur within the 2030s, if at all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We also own the rights to the </w:t>
      </w:r>
      <w:r>
        <w:rPr>
          <w:rFonts w:ascii="Times New Roman" w:cs="Times New Roman" w:eastAsia="Times New Roman" w:hAnsi="Times New Roman"/>
          <w:sz w:val="18"/>
          <w:szCs w:val="18"/>
          <w:b w:val="1"/>
          <w:bCs w:val="1"/>
          <w:color w:val="auto"/>
        </w:rPr>
        <w:t>ODIN</w:t>
      </w:r>
      <w:r>
        <w:rPr>
          <w:rFonts w:ascii="Times New Roman" w:cs="Times New Roman" w:eastAsia="Times New Roman" w:hAnsi="Times New Roman"/>
          <w:sz w:val="18"/>
          <w:szCs w:val="18"/>
          <w:color w:val="auto"/>
        </w:rPr>
        <w:t>™ reactor, a portable modular low pressure coolant reactor, which we are currently in the process of selling as described below.</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January 2025 Acquisition of KRONOS and LOKI Assets</w:t>
      </w:r>
    </w:p>
    <w:p>
      <w:pPr>
        <w:spacing w:after="0" w:line="22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2025, we closed the acquisition of certain assets related to the KRONOS MMR™ Energy System and the LOKI MMR™ Energy System from Ultra Safe Nuclear Corporation (“USNC”). These assets (the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and (iv) the business records of the USNC Assets and related rights. We acquired these assets through two new wholly owned subsidiaries incorporated in Nevada.</w:t>
      </w:r>
    </w:p>
    <w:p>
      <w:pPr>
        <w:spacing w:after="0" w:line="187" w:lineRule="exact"/>
        <w:rPr>
          <w:rFonts w:ascii="Times New Roman" w:cs="Times New Roman" w:eastAsia="Times New Roman" w:hAnsi="Times New Roman"/>
          <w:sz w:val="18"/>
          <w:szCs w:val="18"/>
          <w:color w:val="auto"/>
        </w:rPr>
      </w:pPr>
    </w:p>
    <w:p>
      <w:pPr>
        <w:jc w:val="both"/>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USNC Assets also included certain Canadian assets relating to both the KRONOS MMR™ Energy System and certain Canadian intellectual property rights relating to the LOKI MMR™ (the “Canadian Assets”). The Canadian Assets include, among other assets: (i) three contracts with Canadian authorities, including a license application (the “Chalk River License Application”) with the Canadian Nuclear Safety Commission (“CNSC”) associated with a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 demonstration project at Chalk River Laboratories located in Ontario, Canada (the “Chalk River Project”), (ii) the equity interests of a Canadian partnership that was believed at the time to hold the Chalk River License Application (the “Canadian Partnership”), and (iii) rights related to the Chalk River Project. The transfer of the Chalk River License Application and certain other of the Canadian Assets (such assets, the “Consent Assets”) required the consent of certain Canadian governmental entities, including the CNSC (the “Canadian Consents”). We established an escrow of $250,000 deposited at the closing securing the Canadian Consents. If the Canadian Consents were not received within 90 days after the closing, we had the right to terminate the acquisition of the Consent Assets, receive the return of $250,000 held in escrow and forfeit our rights to the Consent Assets. Our right to acquire the Consent Assets was established pursuant to an option arrangement with our Chairman and President and his affiliated entities as described below.</w:t>
      </w:r>
    </w:p>
    <w:p>
      <w:pPr>
        <w:spacing w:after="0" w:line="19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closed our acquisition of the USNC Assets (including the Canadian Assets which were not Consent Assets, consisting of Canadian intellectual property rights) on January 10, 2025. The USNC Assets were acquired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We consider this purchase price to be advantageous for us as we believe based on publicly available information that USNC raised over $120 million for the development of the KRONOS MMR™ Energy System and that a major data center operator had conducted due diligence on the project while it was being developed by USNC. On December 18, 2024, the United States Bankruptcy Court for the District of Delaware, the court overseeing USNC’s bankruptcy, approved the sale of the USNC Assets to us, including the Canadian Assets, which approval included our right to assign our purchase rights to the Consent Assets.</w:t>
      </w:r>
    </w:p>
    <w:p>
      <w:pPr>
        <w:spacing w:after="0" w:line="191"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first made aware of the bankruptcy sale opportunity for the USNC Assets a few weeks before the bankruptcy auction was scheduled to take place. As such, the process of bidding for and documenting the purchase was very expedited and provided us with only a limited ability to conduct full due diligence on the USNC Assets, particularly the Canadian Assets. Moreover, we were made aware at that time that certain Consent Assets (specifically the Canadian Partnership) could be encumbered by liabilities that could not be cleared through USNC’s U.S. bankruptcy process, thus creating a risk to us should we assume such liabilities. To enable our ability to continue diligence of the Consent Assets to ensure we acquired the correct assets and did not assume or become exposed to any unknown liabilities, on the closing date of the USNC Asset acquisition, we assigned our rights to acquire the Consent Assets to Jay Jiang Yu, our founder, President, Secretary and Treasurer, and Chairman of the Board, and certain existing Canadian entities owned or controlled by Mr. Yu (the “Yu Entities”). Accordingly, on January 10, 2025, we entered into an option agreement (“Yu Option Agreement”) with Mr. Yu and Yu Entities, pursuant to which we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our disinterested directors. Given the uncertainties regarding the Consent Assets at that time, we believe this option arrangement was the most efficient and cost-effective structure (particularly since the option was exercisable by us for only nominal consideration) for us to close the bankruptcy sale and secure the right to acquire Consent Assets, while also preserving our ability to progress the KRONOS project in Canada and facilitate the Canadian Consents.</w:t>
      </w:r>
    </w:p>
    <w:p>
      <w:pPr>
        <w:sectPr>
          <w:pgSz w:w="11900" w:h="16907" w:orient="portrait"/>
          <w:cols w:equalWidth="0" w:num="1">
            <w:col w:w="11240"/>
          </w:cols>
          <w:pgMar w:left="320" w:top="657" w:right="3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Acquisition of GFPL and 2025 Progress with Chalk River Project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2025, we sought Canadian Consents for the Consent Assets (most notably, the Chalk River License Application). As part of our continuing due diligence, we learned that a USNC affiliate called Global First Power Ltd. (“GFPL”), and not the Canadian Partnership, was in fact the holder of the Chalk River License Application. Further, we were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we determined that the most efficient course of action for our company to continue the Chalk River Project would be for us to acquire GFPL itself and thereby acquire the Chalk River License Application. As a result, on August 14, 2025, The RPWI Liquidating Trust, a Delaware liquidating trust created pursuant to USNC’s plan of liquidation in bankruptcy, GFPL, our company and our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our assumption of an approximately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 On September 2, 2025, the GFPL Purchase Agreement and the transactions contemplated thereby were approved by the Bankruptcy Court, and on October 16, 2025, such transaction was closed. We expect to pay the $0.65 million assumed liability using cash on hand in the near future.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foregoing, neither the Yu Entities nor our company formally acquired the Consent Assets, and given our subsequent due diligence and discussions with CNSC following our acquisition of the USNC Assets, we have determined that (i) our acquisition of GFPL provides us with all of the rights and assets we require from USNC to progress the Chalk River Project, (ii) the Consent Assets subject to the Yu Option Agreement are immaterial to our plans and need not be acquired, with the result that we expect to terminate the Yu Option Agreement and (iii) given that the Canadian Consents were not achieved on a timely basis, we intend to seek a return of the $250,000 escrow amount. In late October 2025, we announced our rebranding of GFPL to the name True North Nuclear.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KRONOS MMR™ Reactor and Key Collaboration with The University of Illinois</w:t>
      </w:r>
    </w:p>
    <w:p>
      <w:pPr>
        <w:spacing w:after="0" w:line="2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our lead reactor development project, and we are currently prioritizing this project over our other microreactors in development. It is a stationary reactor design that targets new markets beyond those targeted by our smaller microreactors, which are designed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for more remote locations, such as island and remote communities, remote industry such as mining projects or oil and gas. The KRONOS MMR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reactor will also target larger population centers, larger industrial operations, industrial heat for larger industries, and data and artificial intelligence</w:t>
      </w:r>
    </w:p>
    <w:p>
      <w:pPr>
        <w:jc w:val="both"/>
        <w:spacing w:after="0" w:line="221" w:lineRule="auto"/>
        <w:rPr>
          <w:sz w:val="20"/>
          <w:szCs w:val="20"/>
          <w:color w:val="auto"/>
        </w:rPr>
      </w:pPr>
      <w:r>
        <w:rPr>
          <w:rFonts w:ascii="Times New Roman" w:cs="Times New Roman" w:eastAsia="Times New Roman" w:hAnsi="Times New Roman"/>
          <w:sz w:val="18"/>
          <w:szCs w:val="18"/>
          <w:color w:val="auto"/>
        </w:rPr>
        <w:t>centers for the tech industry.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design incorporates negative reactivity feedback, passive heat removal, passive shutdown characteristics, and uses helium — an inert gas — along with TRISO fuel. These features allow the reactor to safely dissipate heat without operator intervention or external power.</w:t>
      </w:r>
    </w:p>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On March 29, 2025, we executed a Sponsored Research Agreement Amendment No. 2 with The Board of Trustees of the University of Illinois (referred to for these purposes as “U of I”) that substituted our company as an assignee of the rights and obligations of USNC regarding the sponsored research relationship with The University of Illinois Urbana-Champaign (“UIUC”) for the KRONOS MMR™ project. Under the Sponsored Research Agreement and its amendments (the “UIUC Agreement”), our company, in collaboration with U of I, will construct, obtain regulatory approval for, and deploy a KRONOS MMR™ research and test reactor on the UIUC campus. The UIUC Agreement as entered into with U of I is effective January 1, 2022, and will terminate on February 28, 2027, unless terminated earlier, for convenience by either party by providing 30 days’ advance written notice, for material breach by either party that is uncured within 30 days after providing notice, or immediately upon notice, if (i) the parties cannot agree on an acceptable successor U of I principal investigator for the project (if either of the current U of I principal investigators become unable to perform), (ii) we are declared insolvent, cease (or threaten to cease) to carry on our business, or an administrator or receiver has been appointed over all or part of our assets; (iii) we fail to pay promptly research costs to U of I under a budget not to exceed approximately $3.4 million; or (iv) either party is debarred or excluded from participating in any government program. Under the UIUC Agreement, each party owns the inventions it develops alone, and any inventions developed together are jointly owned. At our request and expense, U of I will file patent applications in the United States and foreign countries for any U of I or joint inventions. With U of I approval, we may control patent application filing, prosecution, and maintenance. We have also received a non-exclusive, non-transferable royalty-free license to practice each U of I invention for commercial purposes within the field of nuclear energy. In mid-April 2025, we launched a recruitment initiative focused on the Midwest region to support our plans to construct, demonstrate and gain regulatory approval for full-scale KRONOS MMR™ Energy System in both the United States and Canada.</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late April 2025, the U.S. Nuclear Regulatory Commission (“NRC”) issued its final Safety Evaluation (SE) approving the Fuel Qualification Methodology Topical Report (FQM TR) for the advanced fuel design to be used in the KRONOS MMR™ Energy System. The FQM TR is a technical document that defines the analytical framework and testing approach by which irradiation data and fuel performance information will be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evaluated to demonstrate that the KRONOS MMR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fuel meets NRC safety and reliability requirements. Approval of the FQM TR does not in itself authorize construction or operation of the KRONOS MMR™ reactor; rather, it provides regulatory acceptance of the methodology that will be used to qualify the fuel in subsequent testing and licensing steps. This milestone is significant because it reduces licensing uncertainty by establishing NRC-endorsed criteria for demonstrating that the fuel will perform as intended under both normal operating and accident conditions. The next stages in the regulatory process, all of which we anticipate completing by early 2026, include completing the associated safety and environmental analyses, and submitting an application for a construction permit for the KRONOS MMR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reactor at UIUC. We plan to submit the</w:t>
      </w:r>
    </w:p>
    <w:p>
      <w:pPr>
        <w:jc w:val="both"/>
        <w:spacing w:after="0" w:line="227" w:lineRule="auto"/>
        <w:rPr>
          <w:sz w:val="20"/>
          <w:szCs w:val="20"/>
          <w:color w:val="auto"/>
        </w:rPr>
      </w:pPr>
      <w:r>
        <w:rPr>
          <w:rFonts w:ascii="Times New Roman" w:cs="Times New Roman" w:eastAsia="Times New Roman" w:hAnsi="Times New Roman"/>
          <w:sz w:val="18"/>
          <w:szCs w:val="18"/>
          <w:color w:val="auto"/>
        </w:rPr>
        <w:t>construction application for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in early 2026 and anticipate receiving the approval in the first half of 2027, subject to the NRC’s review process. The duration of the NRC’s review depends on the scope and content of the application, and licensing for advanced reactors may extend over several years. The NRC’s approval of the FQM TR therefore marks the beginning of the staged regulatory process that we must complete in order to obtain authorization to construct and ultimately operate KRONOS reactors.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have already made material progress with the KRONOS MMR™, including affirming the collaboration for this project with UIUC; however, we have not yet determined a definitive timeline for demonstration, licensing and commercial launch of this reactor, but when considering construction timelines, licensing timeframes, sourcing key materials and fuel, we estimate the early 2030s for commercial readiness.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that the diversity of our products in development positions us to capitalize on growing financial investment and societal momentum driving advanced nuclear energy technologies on a global scale across multiple different areas. We will leverage our world-class technical team to analyze and optimize these technologies, key components, and intellectual property, before integrating them into its operational frameworks and ongoing innovative efforts. We also intend to build upon and strengthen the extensive industry relationships that USNC established during its operations, including those with UIUC and the Canadian Government to build prototype reactors. Once operational in the future, our plan is to be able to sell a majority of the energy produced at the UIUC using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with UIUC retaining a portion for its own use.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Other Microreactor Projects</w:t>
      </w:r>
    </w:p>
    <w:p>
      <w:pPr>
        <w:spacing w:after="0" w:line="2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Our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directly benefits from the advancement and development of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as both share similar technological features. Accordingly, the development timeline of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expected to be analogous to that of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portable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will target multiple applications, including remote locations unsuitable for larger reactor systems, such as islands; remote industrial operations, such as mining and oil and gas projects; and extra-terrestrial applications that require consistent power. The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commercial deployment of the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expected to depend primarily on demonstrated market demand and customer interest, which may incentivize us to invest in the construction of a prototype or demonstration reactor and to initiate the licensing process with the NRC. As of the date of this Report, we are still in the process of assessing and developing demonstration, licensing and commercial launch timelines for this reactor. We expect to commercially launch the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in the 2030s.</w:t>
      </w:r>
    </w:p>
    <w:p>
      <w:pPr>
        <w:spacing w:after="0" w:line="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Our ZEUS™ and ODIN™ microreactors have moved from the design stages to physical test work stages, with materials testing, irradiation testing, and initial rig construction currently underway, to ensure the accuracy of our modelled reactors and to optimize the dimensions and composition of the systems. We believe there is potential for our ZEUS™ microreactor to be commercially launched in the 2030s. We have conducted and completed external design audits on the ZEUS™ and ODIN™ reactor designs to provide external validation for our designs. The design audits for those reactors were conducted and completed by the Idaho National Laboratory (“INL”). Currently, we are actively engaged in the engineering development and design optimization of the ZEUS</w:t>
      </w:r>
      <w:r>
        <w:rPr>
          <w:rFonts w:ascii="Times New Roman" w:cs="Times New Roman" w:eastAsia="Times New Roman" w:hAnsi="Times New Roman"/>
          <w:sz w:val="18"/>
          <w:szCs w:val="18"/>
          <w:b w:val="1"/>
          <w:bCs w:val="1"/>
          <w:color w:val="auto"/>
        </w:rPr>
        <w:t>™ reactor</w:t>
      </w:r>
      <w:r>
        <w:rPr>
          <w:rFonts w:ascii="Times New Roman" w:cs="Times New Roman" w:eastAsia="Times New Roman" w:hAnsi="Times New Roman"/>
          <w:sz w:val="18"/>
          <w:szCs w:val="18"/>
          <w:color w:val="auto"/>
        </w:rPr>
        <w:t>, while undergoing a proposed sale process for ODIN™ technology. We are evaluating the most effective means of tailoring our technology to address specific key markets, particularly military and remote applications that require smaller power outputs, for which we believe the ZEUS™ reactor is suited to supply. Upon the conclusion of these evaluations, we plan to accelerate our development of the ZEUS™ technology, including expanding rig test work and collaborating with identified end users to advance a demonstration reactor for licensing. We have had informal meetings with the NRC, informing them of the status of our ZEUS™ microreactor design and the estimated internal timelines for our microreactor developments, with an understanding that definite timelines will be provided once available, to allow the NRC to arrange the necessary personnel to oversee the microreactor licensing process. We increased the size of the technical teams during 2024 and 2025 to expedite the development of the reactor systems, as well as recruiting former NRC personnel to oversee our regulatory licensing processes, and to engage directly with the NRC to facilitate the commercialization planning In March 2025, we announced that we had assembled the first reactor core hardware of our ZEUS™ microreactor for initial non-nuclear testing.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Sale of ODIN™ Reactor Project</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Notwithstanding the progress made with ODIN™ technology to date, given our corporate emphasis on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as our lead project, and the fact that all of our reactor designs, except for the ODIN™ reactor, are within the high-temperature gas-cooled reactor family, we are considering strategic alternatives for ODIN. In September 2025, we signed a letter of intent for the proposed sale of our ODIN™ microreactor design and all associated intellectual property to Cambridge Atom Works, a United Kingdom based advanced reactor developer who is already developing the ODIN™ technology for us on an outsourced consulting basis. This letter of intent called for a total purchase price of $6.2 million, with a $250,000 upfront non-refundable down payment to us and a $5.95 million payment in 2026 as well as future low single-digit royalties payable to us based on net sales if and when ODIN™ technology is commercialized. As of the date of this this Report, the transaction remains subject to execution of definitive documentation and the satisfaction of customary closing conditions. This sale is intended to monetize our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investment in the project to date and enable us to allocate more time and resources to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and our other designs and technologies.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Developments Regarding Our Microreactors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August 2024, we purchased a 14,000 sq. ft., 2-story building in Oak Ridge, Tennessee for $1.7 million to house our Nuclear technology branch (“Nuclear Technology Branch”). Michael Norato, Ph.D., an INL and Department of Energy (“DOE”) veteran, was appointed as our Director of Nuclear Facilities and Infrastructure in December 2024. Dr. Norato will oversee the construction, development and licensing of our key facilities, including our 14,000 sq. ft. Oak Ridge, Tennessee Nuclear Technology Branch, as well as our future test bed reactor sites for experiments related to our ZEUS™ microreactor currently in development. He will also lead the establishment of deconversion and fuel processing facilities, helping to further our goal of being a vertically integrated leader in the U.S. nuclear fuel cycle.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2025, we entered into a lease for a facility in Westchester County, New York where we have established a purpose-built facility to assemble and demonstrate the operation and viability of several non-nuclear parts and components of our nuclear microreactors in development. In February 2025, we engaged aRobotics Company, a leading innovator in robotics fabrication, inspection, engineering and testing, to oversee the multimillion dollar build out of this facility. aRobotics has also assisted us with the fabrication of key components for the facility. We committed approximately $3 million to retrofit this facility. In May 2025, we announced the completion of our retrofit of our demonstration facility and the commencement of operations there. Our demonstration facility is currently supporting ongoing work on our SBIR Phase III project for our Annular Linear Induction Pump (ALIP) technology, which has been assembled onto a test loop and integrated to a controllable test setup for variable design validation at the facility. We anticipate commercializing ALIP in 2026.</w:t>
      </w:r>
    </w:p>
    <w:p>
      <w:pPr>
        <w:spacing w:after="0" w:line="19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July 2025, we announced that we will provide critical engineering and environmental services for our planned construction and deployment activities at the UIUC for our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As part of this initiative, we have engaged AECOM, a global infrastructure leader, under a master services agreement to support site-specific engineering, environmental analysis and regulatory planning at UIUC. The</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agreement lays the groundwork for site-specific engineering in preparation for deploying the first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at UIUC, a globally recognized hub for nuclear research and innovation. Planned activities include detailed environmental reviews, regulatory pathway planning, and site drilling to obtain the geological data required for submitting a construction permit application to the NRC. We anticipate submitting our construction permit application to the NRC in early 2026, and receiving the construction permit in 2027. However, there can be no assurance that we will be able to meet this anticipated timeline, as the submission is subject to the completion of ongoing technical, regulatory, and operational preparations, which may be affected by factors beyond our control. Notwithstanding the foregoing, this is expected to be the first construction permit for a microreactor issued in the United States. The permit application will not incur any government fees, as the KRONOS™ reactor, due to its location at UIUC, qualifies for a fee exemption under applicable regulations due to its use for research purposes.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tandem with geological characterization work at the UIUC site that commenced in the fourth quarter of 2025, we launched a recruitment initiative in the second half of 2025 focused on the Midwest region to support our plans to construct, demonstrate and gain regulatory approval for</w:t>
      </w:r>
    </w:p>
    <w:p>
      <w:pPr>
        <w:jc w:val="both"/>
        <w:spacing w:after="0" w:line="237" w:lineRule="auto"/>
        <w:rPr>
          <w:sz w:val="20"/>
          <w:szCs w:val="20"/>
          <w:color w:val="auto"/>
        </w:rPr>
      </w:pPr>
      <w:r>
        <w:rPr>
          <w:rFonts w:ascii="Times New Roman" w:cs="Times New Roman" w:eastAsia="Times New Roman" w:hAnsi="Times New Roman"/>
          <w:sz w:val="18"/>
          <w:szCs w:val="18"/>
          <w:color w:val="auto"/>
        </w:rPr>
        <w:t>full-scale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both the United States and Canada. This workforce build-out will consolidate the expertise and provide the personnel necessary to complete the construction permit application and begin construction of the first KRONOS™ reactor prototype on the UIUC campus shortly thereafter. To support this effort, on July 30, 2025, we announced our acquisition of a 2.75-acre land and building package in Oak Brook, Illinois to serve as a regional demonstration and office facility to support the development of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September 2025, we announced that we signed a 10-year Cooperative Research and Development Agreement (“CRADA”) with the INL. With this agreement, we plan to accelerate our advanced microreactor programs, including the stationary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portable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2025, we announced that, with the support of Governor JB Pritzker and the Illinois Department of Commerce and Economic Opportunity, we will establish a manufacturing and research and development facility in Illinois. We plan to make an investment of more than $12</w:t>
      </w:r>
    </w:p>
    <w:p>
      <w:pPr>
        <w:sectPr>
          <w:pgSz w:w="11900" w:h="16838" w:orient="portrait"/>
          <w:cols w:equalWidth="0" w:num="1">
            <w:col w:w="10580"/>
          </w:cols>
          <w:pgMar w:left="980" w:top="688" w:right="339" w:bottom="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million with the support from the Reimagining Energy and Vehicles in Illinois (REV Illinois) program, which is expected to enable us to establish our operations and create 50 new full-time jobs in Illinois. For this effort, we will receive $6.8 million in incentive awards from the REV Illinois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capital will be needed to support our facility construction, licensing, fuel qualification testing, regulatory compliance, prototype construction, and workforce expansion for the development of our microreactors. We estimate that the capital costs needed to construct prototype</w:t>
      </w:r>
    </w:p>
    <w:p>
      <w:pPr>
        <w:jc w:val="both"/>
        <w:spacing w:after="0" w:line="231" w:lineRule="auto"/>
        <w:rPr>
          <w:sz w:val="20"/>
          <w:szCs w:val="20"/>
          <w:color w:val="auto"/>
        </w:rPr>
      </w:pPr>
      <w:r>
        <w:rPr>
          <w:rFonts w:ascii="Times New Roman" w:cs="Times New Roman" w:eastAsia="Times New Roman" w:hAnsi="Times New Roman"/>
          <w:sz w:val="18"/>
          <w:szCs w:val="18"/>
          <w:color w:val="auto"/>
        </w:rPr>
        <w:t>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reactors at the UIUC and Canada over the next several years could be around $300 million to $350 million per reactor. This range reflects inherent uncertainty in building a first-of-a-kind reactor due to several factors that can result in a material increase to these estimates, including site specific factors, the timing and scope of project development and regulatory licensing and supply chain considerations. Subsequent reactors’ capital costs are expected to decline substantially due to supply chain scaling for mass production of components, factory fabrication, modular assembly, and multiple deployments.</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both"/>
        <w:ind w:left="220" w:hanging="220"/>
        <w:spacing w:after="0" w:line="255" w:lineRule="auto"/>
        <w:tabs>
          <w:tab w:leader="none" w:pos="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Fuel Processing Business. </w:t>
      </w:r>
      <w:r>
        <w:rPr>
          <w:rFonts w:ascii="Times New Roman" w:cs="Times New Roman" w:eastAsia="Times New Roman" w:hAnsi="Times New Roman"/>
          <w:sz w:val="18"/>
          <w:szCs w:val="18"/>
          <w:color w:val="auto"/>
        </w:rPr>
        <w:t>Through our subsidiary, HALEU Energy Fuel Inc., and in coordination with the DOE, we are seeking to develop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low-enriched uranium (LEU) and high-assay low-enriched uranium (HALEU) fuel supply chain to supply fuel not only for our own reactors but also to the broader advanced nuclear reactor industry. We have tentatively identified the site where we intend to construct the facilities and have begun to build the team to design and develop these facilities. However, as of the date of this Report, we have not yet commercially launched our fuel processing business. We expect to launch our fuel processing business in 2026. This timeline is subject to a number of uncertainties, including, without limitation, asset due diligence, contract negotiations, site evaluation, due diligence related to potential conversion facilities, and the acquisition of relevant business, any of which may materially affect both the feasibility and timing of the proposed launch. As a result, there can be no assurance that we will proceed with the launch as currently anticipated, or that the launch will occur in 2026.</w:t>
      </w:r>
    </w:p>
    <w:p>
      <w:pPr>
        <w:spacing w:after="0" w:line="188" w:lineRule="exact"/>
        <w:rPr>
          <w:rFonts w:ascii="Times New Roman" w:cs="Times New Roman" w:eastAsia="Times New Roman" w:hAnsi="Times New Roman"/>
          <w:sz w:val="18"/>
          <w:szCs w:val="18"/>
          <w:color w:val="auto"/>
        </w:rPr>
      </w:pPr>
    </w:p>
    <w:p>
      <w:pPr>
        <w:jc w:val="both"/>
        <w:ind w:left="220"/>
        <w:spacing w:after="0" w:line="21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 of this business can be established through multiple avenues, which are all currently under examination by management. We may consider investing in existing pilot conversion operations, where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xml:space="preserve"> is converted into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This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would then undergo an enrichment process before being deconverted and fabricated into nuclear fuel. Alternatively, we may pursue licensing existing conversion technologies to build our own conversion facility. Management is also examining the future acquisition of a uranium mining operation (although we have not entered into any material definitive agreements as of the date of this Report), any of which would signify progress in advancing our strategy to de-risk our fuel supply chain. We are actively evaluating existing pilot conversion facilities in which we may acquire an equity interest through investment in their development, and we are currently conducting the necessary due diligence, although as of the date of this Report, we have not entered into any definitive agreement for such acquisition. In parallel, we are exploring the collaboration opportunities with companies that license conversion technology to assess the potential for the longer-term construction of additional fuel facilities. We are also evaluating uranium mining prospects and considering the acquisition of assets that would support our long-term vertically integrated strategy, although we have not entered into any material definitive agreements as of the date of this Report. We have made a $2 million strategic investment in, and entered into a collaboration with, a laser-based uranium enrichment technology company, LIS Technologies Inc. (“LIST”) (which is a related party), to support the development of their technology. Through this investment and related collaboration, we aim to assist in advancing LIST’s technologies to secure a reliable low enriched uranium fuel supply for our future operations and the broader nuclear energy industry. The parties intend that LIST will provide us with enriched uranium hexafluoride (UF6) at no cost to be fabricated and sold to customers, with LIST to receive compensation as part of a profit-sharing arrangement to be agreed upon between the companies in the future. To support LIST, we intend to construct the back end facilities alongside LIST’s enrichment facility, including the deconversion facility. We also leased 7,000 square feet of space at our Nuclear Technology Center in Oak Ridge, Tennessee to LIST. Our relationship with LIST is considered a related party transaction since certain of our executive directors and officers, including Jay Jiang Yu and Dr. Tsun Yee Law, also serve as directors and officers for LIST, and James Walker and Jaisun Garcha serve as consultants to LIST. Our investment in LIST was unanimously approved by all of our disinterested independent directors.</w:t>
      </w:r>
    </w:p>
    <w:p>
      <w:pPr>
        <w:spacing w:after="0" w:line="206" w:lineRule="exact"/>
        <w:rPr>
          <w:rFonts w:ascii="Times New Roman" w:cs="Times New Roman" w:eastAsia="Times New Roman" w:hAnsi="Times New Roman"/>
          <w:sz w:val="18"/>
          <w:szCs w:val="18"/>
          <w:color w:val="auto"/>
        </w:rPr>
      </w:pPr>
    </w:p>
    <w:p>
      <w:pPr>
        <w:jc w:val="both"/>
        <w:ind w:lef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announced that LIST and our company were selected by the DOE to participate as one of six contract awardees in the DOE’s Low-Enriched Uranium (LEU) Enrichment Acquisition Program (“LEU Acquisition Program”). Under the contract awarded to LIST, LIST was selected as the prime contractor, with our company as the key subcontractor bringing our technical and regulatory expertise in advanced nuclear solutions to the collaboration. LIST will oversee the development of the primary uranium enrichment processes using its novel laser technology, while our company will contribute towards development in the areas of conversion, deconversion, fuel fabrication, and fuel transportation. The total overall amount appropriated under the LEU Acquisition Program across all six contract awardees is anticipated to be $3.4 billion, to be awarded by the DOE via agreed to task orders each having a minimum value of $2 million. We believe that participation in the $3.4 billion LEU Acquisition Program provides technical validation and potential federal contracts to support our operations.</w:t>
      </w:r>
    </w:p>
    <w:p>
      <w:pPr>
        <w:spacing w:after="0" w:line="191" w:lineRule="exact"/>
        <w:rPr>
          <w:rFonts w:ascii="Times New Roman" w:cs="Times New Roman" w:eastAsia="Times New Roman" w:hAnsi="Times New Roman"/>
          <w:sz w:val="18"/>
          <w:szCs w:val="18"/>
          <w:color w:val="auto"/>
        </w:rPr>
      </w:pPr>
    </w:p>
    <w:p>
      <w:pPr>
        <w:jc w:val="both"/>
        <w:ind w:lef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that we have signed a memorandum of understanding with UrAmerica Ltd. (“UrAmerica”), a private exploration company with a package of uranium and other critical metals licenses primarily in Chubut Province, Argentina. The newly signed memorandum formalizes the discussions that we initiated with UrAmerica to explore strategic development across Argentina’s uranium-fuel supply chain. We are currently working together to evaluate specific opportunities that could aid us in securing a dependable source of material for future supply chain options. Such evaluations may lead to the signing of definitive agreements between us and UrAmerica related to particular projects. Through this memorandum, we and UrAmerica aim to build the mining and milling capacities of the uranium supply chain in Argentina with the intention to be a part of the uranium fuel cycle exports into the U.S. Under the memorandum, we will pursue (i) favorable uranium offtake agreements, (ii) potential investments in mineral production and (iii) fuel-cycle infrastructure, and (iv) future joint ventures or related collaboration. One of our goals in entering into the memorandum is to help modernize Argentina’s nuclear sector while strengthening U.S. energy security by sourcing materials for nuclear fuel from a reliable partner.</w:t>
      </w:r>
    </w:p>
    <w:p>
      <w:pPr>
        <w:spacing w:after="0" w:line="194" w:lineRule="exact"/>
        <w:rPr>
          <w:rFonts w:ascii="Times New Roman" w:cs="Times New Roman" w:eastAsia="Times New Roman" w:hAnsi="Times New Roman"/>
          <w:sz w:val="18"/>
          <w:szCs w:val="18"/>
          <w:color w:val="auto"/>
        </w:rPr>
      </w:pPr>
    </w:p>
    <w:p>
      <w:pPr>
        <w:jc w:val="both"/>
        <w:ind w:lef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NRC approvals will be required for fuel processing and handling of enriched uranium (including HALEU). We are evaluating the potential for the relevant state authority to assume primary licensing responsibilities, rather than the NRC. Under the Atomic Energy Act of 1954, as amended (the “Atomic Energy Act”), the NRC may enter into agreements with individual states (referred to as “Agreement States”) to delegate regulatory authority over certain nuclear materials and related facilities. Agreement States are authorized to regulate activities involving source material, byproduct material, and certain special nuclear material within their jurisdiction under NRC-approved regulatory frameworks. In practice, this includes the licensing and oversight of uranium mills, conversion facilities, and other facilities handling source material. Any such state-level regulation must remain consistent with NRC requirements and is subject to ongoing NRC review to ensure compliance with federal safety and environmental standards. As of the date of this Report, we have not submitted any applications for approvals from the relevant regulatory authorities with respect to our proposed fuel processing business. Prior to formally commencing operations, we intend to use commercially reasonable efforts to obtain all required approvals, licenses, and permits from NRC, the Agreement States, and DOE, as appropriate, before we formally launch our fuel processing business. We cannot commence commercial fuel processing activities until all such approvals have been granted, and there can be no assurance that the timing, scope, or outcome of the approval process will not affect the launch or development of our business.</w:t>
      </w:r>
    </w:p>
    <w:p>
      <w:pPr>
        <w:spacing w:after="0" w:line="187" w:lineRule="exact"/>
        <w:rPr>
          <w:rFonts w:ascii="Times New Roman" w:cs="Times New Roman" w:eastAsia="Times New Roman" w:hAnsi="Times New Roman"/>
          <w:sz w:val="18"/>
          <w:szCs w:val="18"/>
          <w:color w:val="auto"/>
        </w:rPr>
      </w:pPr>
    </w:p>
    <w:p>
      <w:pPr>
        <w:jc w:val="both"/>
        <w:ind w:lef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capital will be needed to support our facility design, licensing, and construction for our fuel processing business. In order to achieve our long-term strategy, we expect to raise additional capital (including through our $900 million shelf registration offering) or secure other sources of financing, in addition to the net proceeds of approximately $570 million from the prior financings in both 2024 and 2025, to support our fuel processing business.</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760" w:top="684" w:right="339" w:bottom="258" w:gutter="0" w:footer="0" w:header="0"/>
        </w:sectPr>
      </w:pPr>
    </w:p>
    <w:bookmarkStart w:id="13" w:name="page14"/>
    <w:bookmarkEnd w:id="13"/>
    <w:p>
      <w:pPr>
        <w:jc w:val="both"/>
        <w:ind w:left="220" w:hanging="220"/>
        <w:spacing w:after="0" w:line="256" w:lineRule="auto"/>
        <w:tabs>
          <w:tab w:leader="none" w:pos="2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Fuel Transportation Business. </w:t>
      </w:r>
      <w:r>
        <w:rPr>
          <w:rFonts w:ascii="Times New Roman" w:cs="Times New Roman" w:eastAsia="Times New Roman" w:hAnsi="Times New Roman"/>
          <w:sz w:val="18"/>
          <w:szCs w:val="18"/>
          <w:color w:val="auto"/>
        </w:rPr>
        <w:t>Our transportation business will build on existing work completed at INL, Oak Ridge National Laboratory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(“ORNL”) and Pacific Northwest National Laboratory (“PNNL”), the world’s premier U.S.-backed nuclear research facilities. As of the date of this Report, we have not yet commercially launched our fuel transportation business. We expect to launch our fuel transportation business by 2028, however, the timeline of which could be impacted by progress in acquiring assets and businesses within the nuclear transport industry to possess our company with the capabilities to internally move the materials, reactors, and fuels inherent within a reactor deployment operation, and as of the date of this Report, we have not entered into any definitive agreements for such acquisition. Accordingly, there can be no assurance that we will be able to launch the business as currently anticipated, or that such launch will occur by 2028, if at all.</w:t>
      </w:r>
    </w:p>
    <w:p>
      <w:pPr>
        <w:spacing w:after="0" w:line="186" w:lineRule="exact"/>
        <w:rPr>
          <w:rFonts w:ascii="Times New Roman" w:cs="Times New Roman" w:eastAsia="Times New Roman" w:hAnsi="Times New Roman"/>
          <w:sz w:val="18"/>
          <w:szCs w:val="18"/>
          <w:b w:val="1"/>
          <w:bCs w:val="1"/>
          <w:i w:val="1"/>
          <w:iCs w:val="1"/>
          <w:color w:val="auto"/>
        </w:rPr>
      </w:pPr>
    </w:p>
    <w:p>
      <w:pPr>
        <w:jc w:val="both"/>
        <w:ind w:left="220"/>
        <w:spacing w:after="0" w:line="217"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fuel transportation business is still at the development stage as of the date of this Report. We received an exclusive license for a high capacity HALEU fuel transportation basket design in April 2024, which will form the basis for a new transportation package to complement a complete transportation system. This license grants us, as the licensee, exclusive rights for the use and development of the technology. In addition, the licensor is not permitted to license the technology to any other parties within the specified scope. We believe this technology is the most advanced concept in the United States for moving HALEU in commercial quantities. We are currently conducting work to modify the design to accommodate a variety of different fuel forms, so we are positioned to move fuel for both of our reactors and to enable us to provide transportation services to any nuclear company looking to move commercial quantities of fuel. In September 2024, we signed an agreement with GNS Gesellschaft für Nuklear-Service mbH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also seek to acquire assets and existing businesses within the nuclear transportation industry to possess our company with the capabilities to internally move the materials, reactors, and fuels inherent within a reactor deployment operation, although we have not entered into any definitive agreements as of the date of this Report. We intend to obtain NRC certification for our high-capacity HALEU transportation system to move commercial quantities of HALEU fuel around North America and internationally, complete further engineering work to modify designs for multiple fuel types, including UO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(uranium dioxide), UN (uranium nitride), UZrH (uranium zirconium hydride), UF (uranium-fluoride based fuels), and TRISO (tristructural isotropic particle fuel). As of the date of this Report, we have adapted our initially licensed intellectual property to accommodate additional fuel forms and have also begun evaluating broader transportation system development that may ultimately enable us to offer an integrated package capable of transporting multiple types of fuel for our commercial partners. If this business is developed and commercialized, we believe this product will serve as the basis for a domestic HALEU transportation company capable of providing commercial quantities of HALEU fuel. We hope to put our fuel transportation business into operation by 2028. We have also brought on a former United Parcel Service (UPS) executive who works for our fuel transportation subsidiary to assist in growing the transportation business around our technology.</w:t>
      </w:r>
    </w:p>
    <w:p>
      <w:pPr>
        <w:spacing w:after="0" w:line="2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760" w:top="684" w:right="339" w:bottom="1440" w:gutter="0" w:footer="0" w:header="0"/>
        </w:sectPr>
      </w:pPr>
    </w:p>
    <w:bookmarkStart w:id="14" w:name="page15"/>
    <w:bookmarkEnd w:id="1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Development and NRC certification of the transportation system will require funding for engineering and regulatory licensing preparation. We plan to raise additional capital, including through our $400 million at-the-market offering program, to acquire logistics assets or companies to internalize transport capabilities, although as of the date of this Report, we have not entered into any definitive agreements for such acquisitions.</w:t>
      </w:r>
    </w:p>
    <w:p>
      <w:pPr>
        <w:spacing w:after="0" w:line="172" w:lineRule="exact"/>
        <w:rPr>
          <w:sz w:val="20"/>
          <w:szCs w:val="20"/>
          <w:color w:val="auto"/>
        </w:rPr>
      </w:pPr>
    </w:p>
    <w:p>
      <w:pPr>
        <w:jc w:val="both"/>
        <w:ind w:left="660" w:hanging="220"/>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Consultation Services. </w:t>
      </w:r>
      <w:r>
        <w:rPr>
          <w:rFonts w:ascii="Times New Roman" w:cs="Times New Roman" w:eastAsia="Times New Roman" w:hAnsi="Times New Roman"/>
          <w:sz w:val="18"/>
          <w:szCs w:val="18"/>
          <w:color w:val="auto"/>
        </w:rPr>
        <w:t>We also plan on providing nuclear service support and consultation services for the expanding and resurgent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 energy industry in 2026, both domestically and internationally. Regulatory approval is not required to provide such services. This business opportunity represents our nearest term revenue generating opportunity. As of the date of this Report, we have not yet formally launched our nuclear consultation business, although we have generated a small amount of revenue from providing services to Digihost as described below. Our goal is to start providing nuclear service support and consultation services for the nuclear energy industry in 2026. However, this timeline is subject to various uncertainties, including ongoing discussions with Digihost as well as potential acquisitions of similar business (described below), and market-related factors, any of which may materially affect both the feasibility and timing of the launch. Accordingly, there can be no assurance that we will be able to launch the business as currently anticipated, or that such launch will occur in 2026, if at all.</w:t>
      </w:r>
    </w:p>
    <w:p>
      <w:pPr>
        <w:spacing w:after="0" w:line="188"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domestic initiatives, following our collaboration with Digihost Technology Inc.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Report,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both domestically and internationally. As of the date of this Report, we believe we have sufficient funds to support the development of our nuclear consultation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U.S. domestic nuclear energy sector is undergoing a renaissance that we believe we can capitalize on. Strong demand signals and investment support from the Tech Industry, growing demand for clean energy sources to support climate mandates, combined with DOE programs intended to build back national nuclear infrastructure, have created positive market momentum and investor sentiment, which is further driving development and market forces within the nuclear energy industry.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support objectives of the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2021, the White House published a statement titled </w:t>
      </w:r>
      <w:r>
        <w:rPr>
          <w:rFonts w:ascii="Times New Roman" w:cs="Times New Roman" w:eastAsia="Times New Roman" w:hAnsi="Times New Roman"/>
          <w:sz w:val="18"/>
          <w:szCs w:val="18"/>
          <w:i w:val="1"/>
          <w:iCs w:val="1"/>
          <w:color w:val="auto"/>
        </w:rPr>
        <w:t>“FACT SHEET: President Biden Sets 2030 Greenhouse Gas Pollution Reduction Target Aimed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at Creating Good-Paying Union Jobs and Securing U.S. Leadership on Clean Energy Technologies.” </w:t>
      </w:r>
      <w:r>
        <w:rPr>
          <w:rFonts w:ascii="Times New Roman" w:cs="Times New Roman" w:eastAsia="Times New Roman" w:hAnsi="Times New Roman"/>
          <w:sz w:val="18"/>
          <w:szCs w:val="18"/>
          <w:color w:val="auto"/>
        </w:rPr>
        <w:t>On May 23, 2025, President Trump signed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orders aimed at accelerating the development and deployment of nuclear energy in the United States. These directives set forth a national objective to quadruple nuclear energy capacity by 2050 and direct federal agencies, including the DOE and the NRC, to implement policy reforms supporting the restart of shuttered plants, expedited licensing of new reactors, and expanded investment in advanced nuclear technologies such as small modular reactors (SMRs). The orders also emphasized strengthening the domestic uranium supply chain and supporting workforce development initiatives. These policy measures are expected to significantly impact the regulatory environment, capital access, and strategic direction of the nuclear energy sector.</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United States has taken numerous steps in recent years to reduce its dependence on carbon-emitting energy sources. The U.S. had previously set a goal to reach a 100% carbon pollution-free electricity system by 2035, and President Biden set a target of a 50 to 52% reduction from 2005 levels in economy-wide net greenhouse gas pollution by 2030, underlining the Biden administration’s desire for new energy solutions which are at the core of our business plans. Additionally, the “net zero world” initiative signals the U.S.’s proactive stance in working with countries to lead a global transition to net zero emissions by 2050. While it remains unclear how the Trump administration will view the net world zero initiative, it has already voiced support for the advanced reactor industry and declared its intention to support the build back of the nuclear industry in the United States.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Micro Nuclear Reactor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key pillar of our business plan is to provide readily replaceable mobile reactors which we can provide to customers, along with operative personnel, to power projects, residential and commercial enterprises, and major development projects. Our vision is to be a commercial and domestic energy supply leader within the U.S. nuclear industry, and to advance U.S. domestic and foreign policy and national security priorities. The mobile, lower-cost and ultra-safe solid core model of our micro-reactor vision will provide a clean energy option that supports initiatives for sustained international engagement and promotes enhanced and more efficient cooperation and assistance in the application of peaceful uses of nuclear energy, science, and technology. We will also drive resources to projects and activities in developing countries of greatest need by supplying energy to areas removed from the grid.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developing the next generation of advanced nuclear microreactors, with our principal focus centered on our KRONOS MMR™ Energy System. This high technology readiness level (or TRL), high-temperature gas-cooled reactor (or HTGR), Tristructural-Isotropic (or TRISO) fueled reactor is designed for both small- and large-scale operations, optimizing between size and output to allow for modularity and easier mass manufacturing, and efficient scalable energy generation. The design employs helium coolant and TRISO particle fuel, integrating the reactor core into a fully sealed module intended to be manufactured off-site. The modular architecture is designed to shorten construction timelines, facilitate road transport of components and assemblies, and enable co-location with industrial or institutional users.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reactor is engineered to operate using LEU+ fuel, allowing near-term deployment before widespread commercial availability of high-assay low-enriched uranium (HALEU). Our KRONOS™ reactor incorporates passive safety features, including large thermal margins between operating temperatures and fuel failure thresholds, and relies on inherent material and geometry characteristics to maintain safe conditions without active intervention. We plan to advance a full-scale KRONOS™ demonstration reactor in partnership with the University of Illinois Urbana–Champaign (UIUC) while pursuing U.S. Nuclear Regulatory Commission (NRC) licensing. We have also explored potential deployment pathways in Canada for remote northern communities reliant on diesel for power. As of the date of this Report, we have already made material progress with the KRONOS MMR™ reactor, including affirming the collaboration for this project with UIUC; however, we have not yet determined a definitive timeline for demonstration, licensing and commercial launch of this reactor, but when considering construction timelines, licensing timeframes, sourcing key materials and fuel, we estimate the early 2030s for commercial readiness.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developing the LOKI MMR™ reactor, which was acquired alongside the KRONOS MMR™ reactor intellectual property portfolio as part of the USNC Asset acquisition. The LOKI MMR™ reactor is a compact microreactor designed for transportable deployment and rapid installation, targeting applications such as remote industrial operations, defense installations, forward bases, and high-demand off-grid sites. The design emphasizes modular construction, simplified heat-transport systems, and high inherent safety margins. The LOKI MMR™ reactor is being further evaluated and re-engineered by our technical teams for settings requiring smaller power output or enhanced mobility. As of the date of this prospectus, we are still in the process of assessing and developing demonstration, licensing and commercial launch timelines for this 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130810</wp:posOffset>
            </wp:positionV>
            <wp:extent cx="5631815" cy="3360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3181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23,537 sq. ft. facility to support the buildout of the KRONOS MMR™ Microreactor Energy System on a 2.75-acre land package in Oak Brook, Illinois</w:t>
      </w:r>
    </w:p>
    <w:p>
      <w:pPr>
        <w:spacing w:after="0" w:line="15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We are also developing the portable ZEUS™ reactor. The ZEUS™ reactor is a solid-core “nuclear battery” microreactor, designed by world-class engineers trained at the University of California—Berkeley, has a fully solid core and utilizes already licensed fuel types, enriched up to 19.75%, where heat is removed solely by thermal conduction. This requires the deployment of high conductivity, high melting materials, and careful materials design. The reactor will use already licensed fuel types, so no new fuel developments are necessary. Reactivity will be controlled with control rods outside of the central core. The generated heat will be conducted from the fuel to the outside of the core via thermal conduction through a thermally conductive material, allowing for the elimination of coolant, creating a far safer reactor than historically developed. Heat will be removed from the outside of the core by recirculated air, which delivers the heat to the gas turbine to produce electricity. The gas turbine will be affixed to the reactor to reduce piping and minimize the size of the plant. The benefit of not incorporating a primary liquid loop reduces the manufacturing costs, and enhances simplicity for modelling, testing, optimizing, and constructing. The secondary loop outside the monolith will be inert gas allowing it to reach high temperatures and direct heating of a gas turbine which will be compact and small. Without coolant, typical reactor pumps and piping can be removed from the design, allowing for further compactness, with the aim being to construct a full core and electricity generating gas turbine within a container meeting International Organization for</w:t>
      </w:r>
    </w:p>
    <w:p>
      <w:pPr>
        <w:sectPr>
          <w:pgSz w:w="11900" w:h="16838" w:orient="portrait"/>
          <w:cols w:equalWidth="0" w:num="1">
            <w:col w:w="11240"/>
          </w:cols>
          <w:pgMar w:left="320" w:top="684" w:right="339" w:bottom="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Standardization specifications. The smaller power core will also mean less neutrons are absorbed by the non-fissionable materials, allowing for longer operational life despite the small core.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examining slight modifications of the ZEUS™ reactor design to create an even smaller, more mobile reactor system, allowing for an increased number of applications which do not overlap with our other reactors, the KRONOS™ reactor and LOKI™ reactor. The solid core concept permits a degree of simplicity, and fewer working parts, than other reactor types – we are working on exploiting these inherent advantages to provide this product in the market.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2024, we filed two U.S. provisional patent applications related to the ZEUS™ technology, both of which expired as of the date of this Report. Subsequently, we filed six utility U.S. applications with the U.S. Patent and Trademark Office (USPTO) and six corresponding international applications under the Patent Cooperation Treaty (PCT) related to the ZEUS™ technology. As of the date of this Report, the PCT international applications are awaiting national stage entry, and the US. applications are pending and awaiting examination by the USPTO.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125730</wp:posOffset>
            </wp:positionV>
            <wp:extent cx="4286250" cy="2768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ZEUS Prototype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Successful licensing and certification of one of our reactors will enable and accelerate certification and licensing processes for innovative and lower-cost designs in the future. A small portable power source (nuclear power bank) will enable deployment to areas after natural disasters to support first responders, water purification efforts, hydrogen production, or initial construction to regain control of these situations. The possibility of multiple nuclear reactors as part of future emergency response resources is also contemplated.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ZEUS™ reactor went through a design audit by external institutions in 2024, which provided external input and assistance to advance the concepts and provide validation of the design direction and technology utilized so far. The design and concept were extremely well received and further guidance was provided to assist our technical team to steer the reactor from its current state through to a licensed product ready for deployment. The external design audit for the ZEUS™ reactor received commendations for its innovative design and simplicity.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Michael Norato, Ph.D., an INL and DOE veteran, was appointed as our Director of Nuclear Facilities and Infrastructure in December 2024. Dr. Norato will oversee the construction, development and licensing of our key facilities, including our 14,000 sq. ft. Oak Ridge, Tennessee Nuclear Technology Branch and future test bed reactor sites for experiments related to our microreactors currently in development. He will also lead the establishment of deconversion and fuel processing facilities, helping to further our goal of being a vertically integrated leader in the U.S. nuclear fuel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125730</wp:posOffset>
            </wp:positionV>
            <wp:extent cx="4680585" cy="2494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8058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14,000 sq. ft., 2-story facility to house the Company’s Technology Headquarters on a 1.64-acre land package in the historic Heritage Center Industrial Park in Oak Ridge, Tennessee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149"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HALEU Fuel Processing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2023, we established a subsidiary, HALEU Energy Fuel Inc., to concentrate specifically on creating a domestic fuel processing facility of LEU and HALEU to supply the next generation of advanced nuclear reactors. In February 2023, we were selected as an official founding member of the DOE’s new HALEU Consortium to develop the U.S.’ domestic capability for the manufacture of HALEU and its processing.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commercial and strategic aim for HALEU Energy Fuel is to design, construct and commission commercial nuclear fuel cycle facilities to supply fuel to the next generation of advanced nuclear reactor companies, our own reactors currently under development, other small module reactors (known as SMR companies), the U.S. nuclear industry, the U.S. national laboratories, and the DOE’s nuclear fuel needs as necessary. The facilities intended capability is to produce a variety of different fuel products and forms as required by U.S. industry and its intended customer base. Our proposed fuel facilities are intended to form part of an integrated system with LIST, a related-party laser uranium enrichment company with which we have an investment and related collaboration agreement. Our proposed processing activity aligns exactly with the DOE’s HALEU fuel mission to return nuclear fuel manufacturing capabilities to the United States.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2024, we announced that LIST and our company were selected by the DOE to participate as one of six contract awardees in the DOE’s LEU Acquisition Program. Under the contract awarded to LIST, LIST was selected as the prime contractor, with our company as the key subcontractor bringing our technical and regulatory expertise in advanced nuclear solutions to the collaboration, as well as a commitment to invest into capabilities upstream of enrichment. LIST will oversee the development of the primary uranium enrichment processes using its novel laser technology, while our company will contribute towards development in the areas of uranium conversion, deconversion, fuel fabrication and transportation. The total overall amount appropriated under the LEU Acquisition Program to all six contract awardees is anticipated to be $3.4 billion, to be awarded via agreed upon task orders with a minimum value of $2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HALEU Fuel Transportation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have developed our business, capability deficiencies in the U.S. nuclear industry that would affect the future operation of all SMR and microreactor companies became apparent, such as there being no method of transporting commercial quantities of HALEU across North America. Our proactive approach to mitigate future impediments to our operations culminated in locating research and technology developed by INL, PNNL and ORNL, that had not been advanced because of budget constraints. On April 3, 2024, we entered into an exclusive patent license agreement (“BEA License”) with BEA and have been working with the groups capable of aiding us in the development of the concept into a complete, governmentally certificated and licensed system proficient in the transportation of enriched fuels.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BEA License grants us, as the licensee, exclusive rights for use and development of the technology. In addition, the licensor is not permitted to license the technology to any other parties within the specified scope. Pursuant to the BEA License, we received an exclusive, royalty-bearing license for a U.S. patent that can be used worldwide related to devices and systems used for HALEU transportation. As part of the BEA License,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BEA License, we are obligated to reimburse BEA for all costs incurred in the preparation, filing, prosecuting, and maintenance of the licensed patent. The BEA License has an indefinite term and will automatically terminate upon the expiration, lapse, or other termination of the licensed patent covered by the BEA License. The BEA License may also be terminated immediately by BEA in the event of our default of any material obligations, and we may terminate the agreement at any time if we provide at least three months’ written notice to BEA. The BEA License contains customary representations, warranties, and indemnifications of the parties. For further information on the BEA License, see “Intellectual Property” below.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seeking to form the first transportation company able to supply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During 2025, we plan to acquire land, or an existing transportation business, for our HALEU transportation base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fuel transportation business will build on the work already completed by INL and ORNL to create a high-capacity HALEU transportation package, with 18 inner canisters, combined with a basket design and a borated aluminum flux trap. In September 2024, we signed an agreement with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Services and Consulting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shortage of suitably nuclear-qualified persons has resulted in institutions purchasing nuclear support services and consultancy practices, profiting from the surge in demand and the commensurate increase in costs created by this demand. Nuclear personnel are being recruited and salaries are increasing as demand outpaces supply. The increased demand in personnel and nuclear related business activity will create increased demand for personnel involved in the licensing and regulatory aspects of the industry, exacerbating the difficulty of acquiring the necessary personnel to develop nuclear related businesses. This trend will likely increase, as the next generation of nuclear reactors are progressing towards more mature development stages, requiring greater numbers of experienced personnel, and because nuclear personnel take a long time to educate, qualify, and acquire practical experience.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identified this trend as an opportunity for more immediate revenue for our company, and to acquire more expertise to advance our business. We have concentrated on identifying small teams with expert personnel, with good portfolios of work and existing contracts, and good expansion potential, which would provide us with immediate revenue post-acquisition. We expect to start providing nuclear service support and consultation services for the nuclear energy industry in 2026, both domestically and internationally.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efforts domestically, on December 12, 2024, we entered into a non-binding memorandum of understanding with Digihost to advance the transition to carbon-free energy at Digihost’s 60-megawatt power plant in upstate New York.</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Immediately after our collaboration, on December 16, 2024, we and Digihost made a joint response submission to the New York State Energy Research and Development Authority (NYSERDA)’s Request for Information (RFI) concerning the development of advanced nuclear energy technologies in New York State. The RFI was initially announced by New York state on November 15, 2024, aiming to gather information and gauge market interest for increased deployment of renewables and promoting the development of advanced nuclear technology such as our microreactors in development. As part of our domestic initiatives, following our collaboration with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Report, we have not entered into any definitive agreements for such acquisitions or collaborations.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both domestically and internationally. As of the date of this Report, we believe we have sufficient funds to support the development of our nuclear consultation services.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assurances can be given that we will be able to successfully establish and grow our own consultation business, and our failure to do so would adversely affect our nearer term revenue prospects. Moreover, the outlined expenditures and the timelines are estimations only. These estimates are inherently subject to significant risks and change due to unforeseen circumstances, operational challenges, adjustments in the microreactor development plan and uncertainties associated with the licensing approval process, and other factors beyond our control. Given that these elements may exceed our initial expectations or lie beyond our control, we cannot guarantee the accuracy of the actual expenditures and timelines.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Our Vision, Market Opportunity and Key Government Support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achievements to date and our business plans are positioning our company to be a leading participant in the U.S. nuclear energy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competitively differentiated in many ways.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Non-Dependent on Government Funding</w:t>
      </w:r>
      <w:r>
        <w:rPr>
          <w:rFonts w:ascii="Times New Roman" w:cs="Times New Roman" w:eastAsia="Times New Roman" w:hAnsi="Times New Roman"/>
          <w:sz w:val="18"/>
          <w:szCs w:val="18"/>
          <w:color w:val="auto"/>
        </w:rPr>
        <w:t>. Most small modular reactor (SMR) and microreactor companies are reliant on government grants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to progress their concepts. Consequently, their progress may cease once government funding is not available. Conversely, we do not rely on government funding to sustain our business operations.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Insight</w:t>
      </w:r>
      <w:r>
        <w:rPr>
          <w:rFonts w:ascii="Times New Roman" w:cs="Times New Roman" w:eastAsia="Times New Roman" w:hAnsi="Times New Roman"/>
          <w:sz w:val="18"/>
          <w:szCs w:val="18"/>
          <w:color w:val="auto"/>
        </w:rPr>
        <w:t>. On the technical front, we have benefited from insight into the problems which affected earlier movers within the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reactor space. SMR companies have raised billions of dollars for development but have been stalled by technical challenges, such as needing to qualify fuel or coolants, or acquiring the fuel necessary to advance their reactors. This led to our investigations into de-risking our own fuel supply by pursuing development and investment into the fuel supply chain and examining our own fuel processing facilities, as well as opting to use more conventional fuel with greater operational history. We believe we have identified certain problems affecting the industry and we are taking early action to surmount potential roadblocks.</w:t>
      </w:r>
    </w:p>
    <w:p>
      <w:pPr>
        <w:spacing w:after="0" w:line="182"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Contacts</w:t>
      </w:r>
      <w:r>
        <w:rPr>
          <w:rFonts w:ascii="Times New Roman" w:cs="Times New Roman" w:eastAsia="Times New Roman" w:hAnsi="Times New Roman"/>
          <w:sz w:val="18"/>
          <w:szCs w:val="18"/>
          <w:color w:val="auto"/>
        </w:rPr>
        <w:t>. During 2024 and 2025, individuals with high placed government service and contacts joined our company. These include</w:t>
      </w:r>
    </w:p>
    <w:p>
      <w:pPr>
        <w:spacing w:after="0" w:line="31"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8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G. Vonglis, the former Chief Financial Officer of the DOE, who joined as our Executive Director of Global Government Affairs, (ii) Eric R. Oesterle, a former Branch Chief for Operating Reactor Licensing at the NRC, who joined as our Head of Microreactor Regulatory Licensing,</w:t>
      </w:r>
    </w:p>
    <w:p>
      <w:pPr>
        <w:jc w:val="both"/>
        <w:ind w:left="660" w:hanging="4"/>
        <w:spacing w:after="0" w:line="252" w:lineRule="auto"/>
        <w:tabs>
          <w:tab w:leader="none" w:pos="98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Tiktinsky, a forty year veteran of the NRC, who joined as our Head of Nuclear Regulatory Licensing and (iv) Dr. Seth Berl, a former Deputy Chief Data Officer at the DOE, who joined our board of directors. In addition, a number of former high-ranking military and government officials with significant experience in nuclear energy sit on our Executive Advisory Board. Our recruitment efforts were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World Class Team</w:t>
      </w:r>
      <w:r>
        <w:rPr>
          <w:rFonts w:ascii="Times New Roman" w:cs="Times New Roman" w:eastAsia="Times New Roman" w:hAnsi="Times New Roman"/>
          <w:sz w:val="18"/>
          <w:szCs w:val="18"/>
          <w:color w:val="auto"/>
        </w:rPr>
        <w:t>. Our technical team is world class, with simple and realizable reactor concepts that do not require exotic fuels, and is aware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the difficulties faced by almost every other reactor company who has chosen designs which have complicated development and licensing. Our team has a deep knowledge of applicable regulatory requirements surrounding safety, transportation, and decommissioning, and our designs have incorporated all these considerations from the outset.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Government Initiatives. </w:t>
      </w:r>
      <w:r>
        <w:rPr>
          <w:rFonts w:ascii="Times New Roman" w:cs="Times New Roman" w:eastAsia="Times New Roman" w:hAnsi="Times New Roman"/>
          <w:sz w:val="18"/>
          <w:szCs w:val="18"/>
          <w:color w:val="auto"/>
        </w:rPr>
        <w:t>We believe that the U.S. government is increasingly showing strong support for nuclear energy through various initiatives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aimed at advancing nuclear technology, all of which further our business plans and opportunities. This support has taken various forms, including legislation, grants, project funding and loan guarantees. Aside from the support for existing nuclear capabilities, all of these initiatives have the potential directly or indirectly to benefit and support our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have the following competitive strengths relating to our various business lines: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Nuclear Reactor Business. </w:t>
      </w:r>
      <w:r>
        <w:rPr>
          <w:rFonts w:ascii="Times New Roman" w:cs="Times New Roman" w:eastAsia="Times New Roman" w:hAnsi="Times New Roman"/>
          <w:sz w:val="18"/>
          <w:szCs w:val="18"/>
          <w:color w:val="auto"/>
        </w:rPr>
        <w:t>Unlike other nuclear reactor companies, we are seeking to become a vertically integrated company with multiple streams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 diversified business to hedge against market changes, and greater control over industries supporting microreactor development, such as within the nuclear fuel supply chain and transportation. Our diversified business model will make us highly differentiated from other reactor companies. We believe we have an expertise advantage over other companies developing microreactors, as we can and have recruited some of the best scientists, engineers and professionals in the world from any country or institution, without being constrained by the available personnel located within certain academic and professional institutions. The technical personnel involved in the current design of our reactors have been involved with the design and development of dozens of different reactors.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believe our lead project, the KRONOS MMR™ Energy System, has among the most, if not the most, high technology readiness of the current known microreactor designs in the market given the millions of dollars of research and development invested in the project by its prior owner. We believe this gives the KRONOS MMR™ Energy System an advantage of other competing microreactor designs.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Processing Business. </w:t>
      </w:r>
      <w:r>
        <w:rPr>
          <w:rFonts w:ascii="Times New Roman" w:cs="Times New Roman" w:eastAsia="Times New Roman" w:hAnsi="Times New Roman"/>
          <w:sz w:val="18"/>
          <w:szCs w:val="18"/>
          <w:color w:val="auto"/>
        </w:rPr>
        <w:t>We believe, based on our market research, that no SMR and microreactor company is currently developing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supply chain to produce the fuel for their reactors. Our strategy to develop fuel for our own reactors will also position us to supply fuel to the wider nuclear industry and other reactor manufacturers, addressing anticipated significant shortfalls in fuel supply.</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Fuel Transportation Business. </w:t>
      </w:r>
      <w:r>
        <w:rPr>
          <w:rFonts w:ascii="Times New Roman" w:cs="Times New Roman" w:eastAsia="Times New Roman" w:hAnsi="Times New Roman"/>
          <w:sz w:val="18"/>
          <w:szCs w:val="18"/>
          <w:color w:val="auto"/>
        </w:rPr>
        <w:t>We identified a transportation concept which investigated a high capacity HALEU fuel transportation basket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developed by INL, ORNL and PNNL, and funded by the DOE. The technology was pursued by DOE to create a full HALEU transportation package, which provided the most advanced solution to address the technological challenge of moving commercial quantities of HALEU fuel around North America. The development of this concept had not been continued by the DOE due to lack of funding. On April 3, 2024, we entered into the BEA License with BEA for this nuclear fuel transportation package, and have been working with the groups capable of aiding us in the development of the concept into an NRC certified and transportation package for the transportation of HALEU materials.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plan to develop and launch a vertically integrated, high technology nuclear energy business faces and will continue to face many significant challenges, as our business involves complex nuclear technology, regulatory hurdles, rapidly shifting market dynamics and intense competition. These challenges include, but are not limited to, the following:</w:t>
      </w:r>
    </w:p>
    <w:p>
      <w:pPr>
        <w:spacing w:after="0" w:line="176" w:lineRule="exact"/>
        <w:rPr>
          <w:sz w:val="20"/>
          <w:szCs w:val="20"/>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necessary permits and licenses for nuclear reactors, fuel facilities and transportation capabilities is time-consuming and expensive. Nuclear 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p>
      <w:pPr>
        <w:spacing w:after="0" w:line="183" w:lineRule="exact"/>
        <w:rPr>
          <w:rFonts w:ascii="Times New Roman" w:cs="Times New Roman" w:eastAsia="Times New Roman" w:hAnsi="Times New Roman"/>
          <w:sz w:val="18"/>
          <w:szCs w:val="18"/>
          <w:color w:val="auto"/>
        </w:rPr>
      </w:pPr>
    </w:p>
    <w:p>
      <w:pPr>
        <w:jc w:val="both"/>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operating a microreactor and our other nuclear energy-related facilities is very capital-intensive. Securing the necessary significant funding and managing costs, including but not limited to operational and maintenance costs, are ongoing challenges for our business. We estimate that the capital costs needed to construct the prototype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reactors at the UIUC and Canada over the next several years could be around $300 million to $350 million per reactor, given the bespoke nature of these initial construction projects. This range reflects inherent uncertainty in building a first-of-a-kind reactor due to several factors that can result in a material increase to these estimates, including site specific factors, the timing and scope of project development and regulatory licensing and supply chain considerations. The range also assumes what we believe are conservative cost estimates for our initial demonstration reactors. Subsequent reactors’ capital costs are expected to decline substantially due to supply chain scaling for mass production of components, factory fabrication, modular assembly, and multiple deployments.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competitive landscape can change, impacting the stability and viability of nuclear projects. International agreements and geopolitical factors can also affect nuclear technology, access and export.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significant competition within our industry. Our competitors target similar power output ranges and employ a range of technologies, including both conventional and novel nuclear reactor designs. In addition, we face competition outside the nuclear energy sector, including fossil fuel-based power generation, renewable energy sources, long duration energy storage solutions, and other nuclear reactor technologies. However, as described above in “Competitive Strengths”, we believe we are positioned better than our competition to emerge as a leading supplier of carbon-free round the clock energy generation.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i w:val="1"/>
          <w:iCs w:val="1"/>
          <w:color w:val="auto"/>
        </w:rPr>
        <w:t>Traditional Energy Sources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Statistical Review of World Energy 2024, fossil fuels, comprising oil, coal, and natural gas, accounted for approximately 80% of global energy consumption in 2023. Those traditional energy resources are carbon-intensive, and we expect them to largely be replaced with carbon-free energy over time. Traditional large-scale nuclear power plants, while carbon-free, require significant upfront capital expenditures, have a history of extensive construction times, complex safety systems and do not have business cases apart from utility-scale generation. We believe our carbon-free microreactor technology possesses all the positive attributes of traditional baseload energy and addresses many of the flaws of traditional nuclear power plants, such as large upfront capital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Renewables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an article titled “More Than 40% of World’s Electricity Came From Zero-Carbon Sources in 2023” released by the Wall Street Journal in August 2024, renewable energy sources like wind and solar made up approximately 17% of total electricity generation, and hydroelectric and nuclear power contributed 24%. Although these sources generate carbon-free power, except for nuclear power, wind and solar are highly intermittent and non-dispatchable, and hydroelectric is seasonal and subject to curtailment. Additionally, since renewables are weather-dependent, they are too unreliable to support certain end-use cases, including mission-critical applications or industrial applications that require extensive on-site, always-available power. Due to their innovative design SMRs and microreactors, can operate as baseload generation, load-follow renewables and/or support key industrial applications.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Advanced Nuclear Reactors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several so-called generation IV small modular or micro reactor technologies that are in various stages of development, such as high temperature gas-cooled reactors, fast reactors, molten salt reactors, fusion technologies, and others, and commercial SMRs are currently operating in China and Russia. These include reactors being designed and developed by TerraPower, X-Energy, GE Hitachi, Holtec, Oklo and Kairos. These technologies, including our own, are designed to be clean, safe, highly reliable and, in certain cases, such as ours, modular and portable. However, these technologies have not received regulatory approval in the United States, and many of the technologies do not have the fuel supply infrastructure necessary to fuel their reactors. Currently, we believe, based on our market research, that there are no microreactor prototypes, and no other SMR companies that have a licensed advanced reactor.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acquired or licensed important intellectual property to protect our technologies. As of the date of this Report, we have a total of 47 issued, pending, or published patents, and 18 registered, pending, or published trademarks.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Specifically, we have 30 issued, pending or published patents, 16 registered, pending or published trademarks, and other technology and intellectual property related to the KRONOS MMR™ Energy System and LOKI MMR™ Energy System. Of these patents and patent applications, eleven were filed with the USPTO, and nineteen were filed with foreign patent offices in various jurisdictions, including Canada, Europe, Korea, China, Japan, United Kingdom, and South Africa. In addition, we also hold intellectual property and related rights associated with a demonstration project in the United States, including commercial and non-commercial licensing rights.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12 patent applications related to various aspects of the ZEUS™ microreactor and power plant design, including six U.S. utility applications and six corresponding international applications filed under the PCT. The U.S utility applications are pending and awaiting examination by the USPTO, and the PCT international applications await national stage entry as of the date of this Report. We have one pending trademark application related to the ZEUS™ technology.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five patent applications related to our acquired ALIP technology for small nuclear reactor cooling, which include four U.S. utility applications and one international PCT application. As of the date of this Report, the U.S. utility applications are pending and awaiting examination by the USPTO, and the international PCT application is awaiting national entry.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have an exclusive license granted by Battelle Energy Alliance, LLC, the manager of the INL (BEA) for our fuel transportation technology, and one pending trademark application related to our fuel transportation technology.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Arrangements with Our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Two of our executive officers are presently engaged by us on an independent contractor basis, and two of our executive officers are engaged by us as employees. Jay Jiang Yu, our founder, President, Secretary and Treasurer, and Chairman of the Board, and Dr. Florent Heidet, our Chief Technology Officer and Head of Reactor Development, are employed under employment agreements.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Two of our executive officers, including Mr. Jaisun Garcha, our Chief Financial Officer, and Mr. James Walker, our Chief Executive Officer, are not employees of our company; instead, they serve as independent contractors and such relationship can be terminated by either party at any time. They may pursue any other activities and engagements during their terms of agreements with us. This independent contractor structure is an important element of our business model, as it enables us to attract highly experienced professionals with specialized expertise while maintaining a flexible cost structure that aligns with our current stage of development. However, the existing external commitments and any future commitments of our officers to other companies may potentially divert some of their time and attention away from the strategic and operational needs of our company. Their divided focus could lead to delays in decision-making, hinder effective communication within our organization, give rise to potential conflicts of interest, and introduce a divergence in priorities, consequently impacting the overall efficacy of leadership. Additionally, the potential for conflicting interests arising from commitments to multiple entities may pose challenges in aligning those officers’ priorities with the long-term goals and interests of our company, thereby introducing an element of uncertainty and potential disruption to our operations. It is essential to acknowledge and address these complexities to ensure that our officers can effectively balance their responsibilities and fulfill their commitments to our company while maintaining transparency and integrity in their various roles. Failure to do so may adversely affect our business, financial condition, and results of operations.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Almost all of our executive officers have management, advisory or directorship positions with other companies and may allocate their time to other businesses, which may pose certain risks in fulfilling their obligations with us. Mr. Yu has concurrently served on the board and management team of several companies and currently allocates at least 15 hours per week to his roles at other companies. Mr. Yu also concurrently serves as the chief executive officer and chairman of the board of LIST. Mr. James Walker, our Chief Executive Officer, currently allocates at least five hours per week to support Ares Strategic Mining Inc. (or Ares), a Canadian-based company listed on the Canadian Stock Exchange under (Ticker: ARS) engaged in junior natural resource mining, where he is responsible for the construction of plants, purchases of land, operations, marketing, financing, safety regulation compliance, and shareholder relations. He is also concurrently serving on the board of directors of several small-cap publicly traded companies and a consultant to LIST. Mr. Jaisun Garcha, our Chief Financial Officer, is currently, and will continue to, work full time with us, and is currently also working as a consultant to LIST. We intend to enter into formal employment agreements with our other senior executive officers in the future.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further detail, see “</w:t>
      </w:r>
      <w:r>
        <w:rPr>
          <w:rFonts w:ascii="Times New Roman" w:cs="Times New Roman" w:eastAsia="Times New Roman" w:hAnsi="Times New Roman"/>
          <w:sz w:val="18"/>
          <w:szCs w:val="18"/>
          <w:i w:val="1"/>
          <w:iCs w:val="1"/>
          <w:color w:val="auto"/>
        </w:rPr>
        <w:t>ITEM 11. Executive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have director &amp;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16, 2025, our team spent approximately 3.8 years on research and development and invested over an aggregate of approximately $20.8 million on research and development related to all of our microreactors to develop these technologies, such as ZEUS™, ODIN™, and KRONOS MMR™. Additionally, we believe that, based on publicly available information, our company’s key reactor, the KRONOS MMR™ reactor, has benefited from approximately $120 million in prior developer investment and nearly a decade of R&amp;D.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forming our company in 2022, our technical teams were involved in microreactor research and development which has helped accelerate the development of our microreactors. Our current research and development efforts are centered on optimizing reactor dimensions, material compositions, simplifying mechanical systems, and lowering the lifecycle cost of our microreactors and supporting future licensing by the NRC. Our team is also involved in developing new innovative technologies that will represent future business endeavors, such as fuel processing and fuel transportation.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14, 2023, we entered into a Strategic Partnership Project (SPP) agreement with INL for an Expert Review Panel of our ZEUS™ microreactor design. The SPP agreement is managed by BEA for the DOE. Over a 6-month period, INL reviewed our ZEUS™-related technical information related to reactor design, siting, fuel, and decommissioning strategy and organized a Panel Review Workshop to discuss numerous areas of the design. This review panel not only provided recommendations on the current design but also outlined a path forward for further design and collaboration between us and INL.</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we have been awarded 200 hours of subject matter expert (SME) support at INL as part of the National Reactor Innovation Center (NRIC) Resource Team program. NRIC accelerates the demonstration and deployment of advanced nuclear energy through its mission to inspire stakeholders and the public, empower innovators, and deliver successful outcomes. They are charged with and committed to demonstrating advanced reactors by the end of 2025. The work carried out focused on delivering a thermal-hydraulics model to study the temperature in our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reactor core as well as the thermal efficiency of the system, a Monte-Carlo model to study criticality and reactivity coefficients in the reactor core during depletion, and an optimized version of the reactor core including thermal-hydraulics and neutronics.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based on publicly available information, USNC raised over $120 million for the research and development activities related to our KRONOS reactor technology. KRONOS is being designed as a next-generation, high-temperature solid-core microreactor intended to provide reliable, transportable, and emissions-free power for defense and remote industrial applications. The KRONOS program builds upon our earlier microreactor development efforts and leverages our team’s prior academic and national laboratory experience in advanced reactor physics, materials science, and high-temperature systems engineering.</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2025, we executed a Sponsored Research Agreement Amendment No. 2 with U of I that substituted our company as an assignee of the rights and obligations of USNC regarding the sponsored research relationship with The UIUC for the KRONOS MMR™ project. Under the UIUC Agreement, our company, in collaboration with UIUC, will construct, obtain regulatory approval for, and deploy a KRONOS MMR™ research and test reactor on the UIUC campus. See “</w:t>
      </w:r>
      <w:r>
        <w:rPr>
          <w:rFonts w:ascii="Times New Roman" w:cs="Times New Roman" w:eastAsia="Times New Roman" w:hAnsi="Times New Roman"/>
          <w:sz w:val="18"/>
          <w:szCs w:val="18"/>
          <w:i w:val="1"/>
          <w:iCs w:val="1"/>
          <w:color w:val="auto"/>
        </w:rPr>
        <w:t>Item 1. Business - Material Agreements and Current Memoranda of Understanding</w:t>
      </w:r>
      <w:r>
        <w:rPr>
          <w:rFonts w:ascii="Times New Roman" w:cs="Times New Roman" w:eastAsia="Times New Roman" w:hAnsi="Times New Roman"/>
          <w:sz w:val="18"/>
          <w:szCs w:val="18"/>
          <w:color w:val="auto"/>
        </w:rPr>
        <w:t>” for detail. UIUC operates one of the nation’s leading university-based nuclear engineering programs and has an established history of working with federal agencies and private industry on reactor development, regulatory planning, and demonstration projects. Our collaboration with UIUC includes assessing site suitability on the UIUC campus, evaluating regulatory pathways under the NRC and DOE reviewing fuel cycle considerations, and examining operational integration with UIUC’s research and educational mission.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KRONOS–UIUC project is intended to serve as a demonstration of the KRONOS reactor, subject to securing the necessary regulatory approvals. We believe that the opportunity to deploy KRONOS at a major research university would accelerate technology maturation, expand educational and workforce-development capabilities, and provide an early operational environment to validate safety, performance, and manufacturability of the system.</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future, we expect our research and development expenses to increase significantly as we continue to accelerate the development of our products, services, and technologies.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Material Agreements and Current Memoranda of Understanding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 Project Agreement No. 23SP817 between Nano Nuclear Energy Inc. and BEA</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14, 2023, we entered into a Strategic Partnership Project (SPP) agreement with BEA. Pursuant to the SPP agreement, BEA is the management and operating contractor of the INL and is operating as a contractor for the DOE. The purpose of the SPP agreement is to establish an expert design panel for our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microreactor design. This review panel will provide recommendations for the current reactor design and outline a path forward for further design and collaboration between BEA and us. The estimated period of performance for completion of the statement of work (“SOW”) outlined in the SPP agreement was six months from the effective date of this SPP agreement (the later of the date signed by the last signatory or the date on which BEA received advance funding from Nano).</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6, 2023, we entered into an amendment to the SPP agreement with BEA, pursuant to which the estimated timeline for completion of the SOW was extended from July 6, 2023 through January 3, 2025 and the term of the SPP agreement may be extended by mutual written agreement of both us and BEA. We expect to seek to extend the term of the SPP in light of the Memorandum of Understanding we signed in December 2024 with DOE as described further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between Nano Nuclear Energy Inc. and Nuclear Education and Engineering Consulting LLC (“NEEC”)</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19, 2024, we entered into a services agreement with NEEC, effective on January 15, 2024. Pursuant to the NEEC agreement, NEEC will support the design and development of a solid core 1 Mwe nuclear reactor according to certain high-level objectives established by us, and in return, NEEC is entitled to a monthly fee of $80,000 or less depending on the workload. The NEEC agreement contains customary provisions regarding confidentiality, indemnification, data security, and privacy. The NEEC agreement will expire two years from January 15, 2024 and may be terminated sooner by either party in the event that the other party is in breach, and it may be terminated with or without cause by NEEC upon thirty days’ written notice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Memorandum of Understanding with Everstar</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2024, we signed a memorandum of understanding with Everstar Inc. to explore the potential of leveraging Everstar’s developing suite of artificial intelligence driven advisory and technology solutions to modernize the regulatory licensing process for our fabrication, deconversion, transportation and microreactor development projects.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Memorandum of Understanding with Vert2Grow Energy Solutions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we announced that we had signed a memorandum of understanding with Vancouver-based start-up Vert2Grow Energy Solutions Inc. (Vert2Grow). Vert2Grow utilizes vertical farming technology provided by Food Security Structures Canada (FSSC). Under this memorandum, we and Vert2Grow aim to explore the integration of our portable microreactor technology with the innovative vertical farming solutions of Vert2Grow and its technology partner FSSC to deliver sustainable power and food production capabilities to remote communities worldwide. The memorandum establishes an initial, two-year exploration period and seeks to address the pressing challenges faced by remote and underserved areas, where access to reliable energy and food supply is limited. By leveraging our advanced reactor systems in development and FSSC’s proprietary controlled-environment agriculture technology, the collaboration will develop a comprehensive framework to deliver innovative solutions that can transform isolated communities, disaster-prone regions, and industrial sites and may eventuate in the execution of one or more definitive agreements between the parties. The collaboration’s initial scope of work over the next several years includes feasibility studies, site selection, pilot project implementation, and community engagement and training.</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Founded in 2019, FSSC specializes in pioneering vertical farming systems that are designed for scalability, operational efficiency, and resilience. With advanced automation, energy-efficient lighting, and climate control technologies, FSSC’s growing system enables year-round, high-yield food production in challenging environments.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Memorandum of Understanding with Digihost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12, 2024, we entered into a memorandum of understanding with Digihost to advance the transition to carbon-free energy at Digihost’s 60-megawatt power plant in upstate New York. This strategic collaboration leveraged our cutting-edge advanced nuclear reactor technologies in development to provide clean, reliable, and scalable energy for Digihost’s high-tech operations, including AI-driven data centers and digital asset colocation programs. The collaboration signified a pivotal step toward zero-emission energy solutions for Digihost by transitioning its existing power infrastructure to leverage advanced nuclear energy, enabling us to offer practical strategies and innovative solutions to address energy challenges faced by industries within the state of New York.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domestic initiatives, following our collaboration with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USNC Agreement and Yu Option Agreement Related to the January 2025 Acquisition of KRONOS and LOKI Assets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18, 2024, we entered into the USNC Agreement with Ultra Safe Nuclear Corporation and certain of its subsidiaries to acquire the USNC Assets related to the KRONOS MMR™ Energy System and the LOKI MMR™.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10, 2025, we closed the acquisition of the USNC Assets. The USNC Assets included (i) five contracts with third-party collaborators, (ii) 38 issued, pending or published patents, nine (reduced from 16 as of January 10, 2025 as we voluntarily abandoned seven) registered, pending or published trademarks, and any other technology and intellectual property related to the acquired assets, (iii) rights related to a demonstration project related to the KRONOS MMR™ Energy System in the United States and (iv) the business records of the USNC Assets and related rights. We acquired these assets through two new wholly owned subsidiaries incorporated in Nevada.</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USNC Assets also included certain Canadian assets relating to both the KRONOS MMR™ Energy System and certain Canadian intellectual property rights relating to the LOKI MMR™ (the “Canadian Assets”). The Canadian Assets include, among other assets: (i) three contracts with Canadian authorities, including a license application (the “Chalk River License Application”) with the Canadian Nuclear Safety Commission (“CNSC”) associated with a KRONOS MMRTM reactor demonstration project at Chalk River Laboratories located in Ontario, Canada (the “Chalk River Project”), (ii) the equity interests of a Canadian partnership that was believed at the time to hold the Chalk River License Application (the “Canadian Partnership”), and (iii) rights related to the Chalk River Project. The transfer of the Chalk River License Application and certain other of the Canadian Assets (such assets, the “Consent Assets”) required the consent of certain Canadian governmental entities, including the CNSC (the “Canadian Consents”). We established an escrow of $250,000 deposited at the closing securing the Canadian Consents. If the Canadian Consents were not received within 90 days after the closing, we had the right to terminate the acquisition of the Consent Assets, receive the return of $250,000 held in escrow and forfeit our rights to the Consent Assets. Our right to acquire the Consent Assets was established pursuant to an option arrangement with our Chairman and President and his affiliated entities as described below.</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closed our acquisition of the USNC Assets (including the Canadian Assets which were not Consent Assets, consisting of Canadian intellectual property rights) on January 10, 2025. The USNC Assets were acquired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We consider this purchase price to be advantageous for us as we believe based on publicly available information that USNC raised over $120 million for the development of the KRONOS MMR™ Energy System and that a major data center operator had conducted due diligence on the project while it was being developed by USNC. On December 18, 2024, the United States Bankruptcy Court for the District of Delaware, the court overseeing USNC’s bankruptcy, approved the sale of the USNC Assets to us, including the Canadian Assets, which approval included our right to assign our purchase rights to the Consent Assets.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10, 2025, we entered into an option agreement (“Yu Option Agreement”) with Mr. Yu and Yu Entities, pursuant to which we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our disinterested directors. Given our acquisition of GFPL later in 2025, we do not currently believe that the assets subject to this option to be material to our company. Please refer to “</w:t>
      </w:r>
      <w:r>
        <w:rPr>
          <w:rFonts w:ascii="Times New Roman" w:cs="Times New Roman" w:eastAsia="Times New Roman" w:hAnsi="Times New Roman"/>
          <w:sz w:val="18"/>
          <w:szCs w:val="18"/>
          <w:i w:val="1"/>
          <w:iCs w:val="1"/>
          <w:color w:val="auto"/>
        </w:rPr>
        <w:t>ITEM 1. Business - Overview</w:t>
      </w:r>
      <w:r>
        <w:rPr>
          <w:rFonts w:ascii="Times New Roman" w:cs="Times New Roman" w:eastAsia="Times New Roman" w:hAnsi="Times New Roman"/>
          <w:sz w:val="18"/>
          <w:szCs w:val="18"/>
          <w:color w:val="auto"/>
        </w:rPr>
        <w:t>” for further detail.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GFPL Purchase Agreement Acquisition of GFPL and 2025 Progress with Chalk River Project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2025, The RPWI Liquidating Trust, a Delaware liquidating trust created pursuant to USNC’s plan of liquidation in bankruptcy, GFPL, our company and our subsidiary Kronos MMR Inc. entered into a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our assumption of an approximately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 2025, the GFPL Purchase Agreement and the transactions contemplated thereby were approved by the Bankruptcy Court, and on October 16, 2025, such transaction was closed. We expect to pay the $0.65 million assumed liability using cash on hand in the near future. In late October 2025, we announced our rebranding of GFPL to the name True North Nuclear. Please refer to “</w:t>
      </w:r>
      <w:r>
        <w:rPr>
          <w:rFonts w:ascii="Times New Roman" w:cs="Times New Roman" w:eastAsia="Times New Roman" w:hAnsi="Times New Roman"/>
          <w:sz w:val="18"/>
          <w:szCs w:val="18"/>
          <w:i w:val="1"/>
          <w:iCs w:val="1"/>
          <w:color w:val="auto"/>
        </w:rPr>
        <w:t>ITEM 1. Business - Overview</w:t>
      </w:r>
      <w:r>
        <w:rPr>
          <w:rFonts w:ascii="Times New Roman" w:cs="Times New Roman" w:eastAsia="Times New Roman" w:hAnsi="Times New Roman"/>
          <w:sz w:val="18"/>
          <w:szCs w:val="18"/>
          <w:color w:val="auto"/>
        </w:rPr>
        <w:t>” for further detail.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Sponsored Research Agreement Amendment No. 2 with The Board of Trustees of the University of Illinois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29, 2025, we executed a Sponsored Research Agreement Amendment No. 2 with U of I that substituted our company as an assignee of the rights and obligations of USNC regarding the sponsored research relationship with The UIUC for the KRONOS MMR™ project. Under the UIUC Agreement, our company, in collaboration with U of I, will construct, obtain regulatory approval for, and deploy a KRONOS MMR™ research and test reactor on the UIUC campus.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UIUC Agreement as entered into with U of I is effective January 1, 2022, and will terminate on February 28, 2027, unless terminated earlier, for convenience by either party by providing 30 days’ advance written notice, for material breach by either party that is uncured within 30 days after providing notice, or immediately upon notice, if (i) the parties cannot agree on an acceptable successor U of I principal investigator for the project (if either of the current U of I principal investigators become unable to perform), (ii) we are declared insolvent, cease (or threaten to cease) to carry on our business, or an administrator or receiver has been appointed over all or part of our assets; (iii) we fail to pay promptly research costs to U of I under a budget not to exceed approximately $3.4 million; or (iv) either party is debarred or excluded from participating in any government program. Under the UIUC Agreement, each party owns the inventions it develops alone, and any inventions developed together are jointly owned. At our request and expense, U of I will file patent applications in the United States and foreign countries for any U of I or joint inventions. With U of I approval, we may control patent application filing, prosecution, and maintenance.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also received a non-exclusive, non-transferable royalty-free license to practice each U of I invention for commercial purposes within the field of nuclear energy. Please refer to “</w:t>
      </w:r>
      <w:r>
        <w:rPr>
          <w:rFonts w:ascii="Times New Roman" w:cs="Times New Roman" w:eastAsia="Times New Roman" w:hAnsi="Times New Roman"/>
          <w:sz w:val="18"/>
          <w:szCs w:val="18"/>
          <w:i w:val="1"/>
          <w:iCs w:val="1"/>
          <w:color w:val="auto"/>
        </w:rPr>
        <w:t>ITEM 1. Business - Overview</w:t>
      </w:r>
      <w:r>
        <w:rPr>
          <w:rFonts w:ascii="Times New Roman" w:cs="Times New Roman" w:eastAsia="Times New Roman" w:hAnsi="Times New Roman"/>
          <w:sz w:val="18"/>
          <w:szCs w:val="18"/>
          <w:color w:val="auto"/>
        </w:rPr>
        <w:t>” for further detail on our relationship with UIUC.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7, 2025 Private Placement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7, 2025, we entered into a Securities Purchase Agreement (the “SPA”) with six institutional investors (the “Investors”), pursuant to which we agreed to offer and sell 8,490,767 shares (“Shares”) of common stock of the Company, par value $0.0001 per share, in a private placement (the “Private Placement”) for gross proceeds of approximately $400,000,000. Pursuant to the SPA, we issued and sold the Shares in the Private Placement at a purchase price of $47.11 per share. The Private Placement closed on October 10,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deducting the placement agent fees and estimated offering expenses payable by the Company, we received net proceeds of approximately $378,600,000. We intend to use these net proceeds to advance development, construction and regulatory licensing activities for our lead micro nuclear reactor program, the KRONOS MMR™ Energy System, continue development of its other micro reactor projects and other nuclear energy related business lines, pursue potential strategic acquisitions, and for general corporate purposes.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SPA, we agreed to include a resale prospectus in the next amendment to our registration statement on Form S-3 initially filed with the Securities and Exchange Commission (the “SEC”) on July 25, 2025 (File No.: 333-288982) covering the resale of the Shares (the “Resale Registration Statement”) as soon as practicable but no later than October 25, 2025 (the date of filing, the “Filing Date”), and with the Resale Registration Statement to be effective within 30 days following the later of (i) the Filing Date, and (ii) the second business day after the date on which the United States Federal government shutdown has concluded and the Securities and Exchange Commission has reopened for operations, if it is not subject to review by the SEC. The Company will have an additional 30 days to cause the Resale Registration Statement to become effective, if it is subject to full review by the SEC. On October 22, 2025, we filed the Resale Registration Statement, which is still under the SEC’s review as of the date of this Report, which as of the date of this Report remains in review by the SEC.</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SPA includes standard representations, warranties and covenants of the Company and Investors, including a restriction on future issuances of the Company’s capital stock or filing a registration statement or any amendment or supplement thereto (subject to certain exceptions) for a period of thirty (30) days following effectiveness of the Resale Registration Statement.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Titan Partners Group LLC, a division of American Capital Partners, LLC, acted as placement agent for the Private Placement (the “Placement Agent”) under a placement agency agreement with the Company (“Placement Agency Agreement”), pursuant to which it received a cash fee equal to 5.0% of the gross proceeds received by the Company in the Private Placement, and reimbursement of $200,000 in legal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Microreactor Business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Nuclear Safety Regulation</w:t>
      </w:r>
      <w:r>
        <w:rPr>
          <w:rFonts w:ascii="Times New Roman" w:cs="Times New Roman" w:eastAsia="Times New Roman" w:hAnsi="Times New Roman"/>
          <w:sz w:val="18"/>
          <w:szCs w:val="18"/>
          <w:color w:val="auto"/>
        </w:rPr>
        <w:t>. The commercial use of nuclear technology is regulated in all countries, and approval from national regulatory bodies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for the design, construction, and operation of nuclear plants, including our proposed microreactors. Nuclear safety regulators primarily consider the safety and robustness of designs of nuclear plants against applicable internal hazards (e.g., component failures and fires) and external hazards (e.g., earthquakes and weather loads such as snow, rain and wind), and also consider the environmental impacts of construction and operations (e.g., water use and preservation of historical sites and animal and plant species) of nuclear plants. Nuclear safety regulation must be addressed on a country-by-country basis, although regulators may collaborate when a design is deployed in multiple countries.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microreactor licensing strategy includes two primary goals: (1) obtain regulatory approval using the most efficient licensing pathway by engaging the regulator early and developing a complete and high-quality application; and (2) maintain a standard design for our microreactor in as many markets as possible by pursuing NRC Standard Design Certification that can be completely referenced in customer license applications.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Nuclear Safety Regulatory Approval in the United States</w:t>
      </w:r>
      <w:r>
        <w:rPr>
          <w:rFonts w:ascii="Times New Roman" w:cs="Times New Roman" w:eastAsia="Times New Roman" w:hAnsi="Times New Roman"/>
          <w:sz w:val="18"/>
          <w:szCs w:val="18"/>
          <w:color w:val="auto"/>
        </w:rPr>
        <w:t>. For a nuclear plant to be constructed and operated in the United States, an applicant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submit either a construction permit application followed by an operating license application in accordance with 10 CFR Part 50 or submit a combined license application in accordance with 10 CFR Part 52. An applicant utilizing either licensing pathway can incorporate by reference a design certification thus limiting the scope of its license application to site-specific information and operational programs. A customer desiring to construct and operate one of our microreactors can increase the efficiency of NRC regulatory approval by incorporating by reference the NRC standard design certification for one of our microreactors into its application. In accordance with our licensing strategy, we expect to obtain NRC approval and certification of our standard microreactor design for incorporation by reference into prospective customer license applications. The design certification process ensures that NRC review of the design is final and that prospective customers that use our NRC standard design certification without modification will only need to support NRC review of site-specific design features (e.g., physical security systems, water intake structures, on-site emergency plan), operational programs (e.g., maintenance, emergency preparedness), and environmental impacts. Through design finality, the NRC will not re-review our microreactor design.</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Nuclear Safety Regulatory Approval Internationally</w:t>
      </w:r>
      <w:r>
        <w:rPr>
          <w:rFonts w:ascii="Times New Roman" w:cs="Times New Roman" w:eastAsia="Times New Roman" w:hAnsi="Times New Roman"/>
          <w:sz w:val="18"/>
          <w:szCs w:val="18"/>
          <w:color w:val="auto"/>
        </w:rPr>
        <w:t>. We are evaluating plans for pursuing international markets and engaging with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regulators with respect to our proposed microreactors. If we pursue markets outside of the U.S., we will assess all international regulatory requirements which may be applicable to our business.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 Regulations</w:t>
      </w:r>
      <w:r>
        <w:rPr>
          <w:rFonts w:ascii="Times New Roman" w:cs="Times New Roman" w:eastAsia="Times New Roman" w:hAnsi="Times New Roman"/>
          <w:sz w:val="18"/>
          <w:szCs w:val="18"/>
          <w:color w:val="auto"/>
        </w:rPr>
        <w:t>. In addition to nuclear safety regulations, we are also subject to such other nuclear regulatory controls as nuclear material safeguards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non-proliferation restrictions, and liability insurance regimes (e.g., Price-Andersen Act, the 1960 Paris Convention, the 1963 Vienna Convention, and the 1997 Convention on Supplementary Compensation). We only plan to sell our microreactors in jurisdictions where nuclear liability is exclusively channeled to the plant operator.</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Customers purchasing our microreactors must also obtain the permits, licenses, and insurance required for the jurisdiction where the facility will be located. In the U.S., a nuclear plant developer must obtain an NRC construction permit and operating license issued pursuant to 10 CFR Part 50 or a combined construction and operating license issued pursuant to 10 CFR Part 52. Other U.S. federal permits or licenses required for a nuclear plant may include those issued by the Army Corps of Engineers; the Federal Aviation Administration; the U.S. Department of Transportation; and the U.S. Environmental Protection Agency. State or local regulators may also require permits or licenses for a nuclear plant, including a National Pollutant Discharge Elimination System (NPDES) Permit for Storm Water Discharges from Construction Activities and to Construct a Sanitary Wastewater, Wastewater Treatment facility; Section 401 Water Quality Certification; Well Permits; Solid Waste Handling Permit; and appropriate building permits.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Export Controls</w:t>
      </w:r>
      <w:r>
        <w:rPr>
          <w:rFonts w:ascii="Times New Roman" w:cs="Times New Roman" w:eastAsia="Times New Roman" w:hAnsi="Times New Roman"/>
          <w:sz w:val="18"/>
          <w:szCs w:val="18"/>
          <w:color w:val="auto"/>
        </w:rPr>
        <w:t>. Our microreactor business is subject to, and complies with, stringent U.S. import and export control laws, including the Export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Regulations (EAR) regulations from the Bureau of Industry and Security which is part of the U.S. Department of Commerce, and regulations issued by the DOE. The regulations exist to advance the national security and foreign policy interests of the U.S. and to further its nonproliferation policies. Nuclear technology, also known as technical data, is controlled by 10 CFR Part 810, under the regulations of the DOE. Nuclear hardware and codes specifically designed or modified for use in a nuclear reactor are controlled by the NRC under 10 CFR Part 110. We will work to ensure that strict internal control and measures are implemented to comply with export control regulations. Appendix A to 10 CFR Part 810 provides a list of countries that are considered Generally Authorized meaning they are considered to be non-sensitive. Countries not on this list are required to be specifically authorized prior to sharing any nuclear technology. Under Part 110, the NRC regulates the export or import of nuclear hardware, material and code, following the same sensitive countries versus non sensitive countries’ regulatory structure embedded in 10 CFR Part 810.</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Processing and Transportation Businesses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Nuclear Safety Regulation</w:t>
      </w:r>
      <w:r>
        <w:rPr>
          <w:rFonts w:ascii="Times New Roman" w:cs="Times New Roman" w:eastAsia="Times New Roman" w:hAnsi="Times New Roman"/>
          <w:sz w:val="18"/>
          <w:szCs w:val="18"/>
          <w:color w:val="auto"/>
        </w:rPr>
        <w:t>. The commercial nuclear fuel industry is heavily regulated in the United States and regulatory approval is required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safety systems and operation of a nuclear fuel facility such as our proposed fuel processing facility. Nuclear safety regulators from the NRC consider safety related impacts to the facility from external events (e.g., wildfires, impacts from nearby facilities), natural phenomena hazards (e.g., seismic events, wind, snow, floods), fire protection, environmental conditions and dynamic effects associated with operations, chemical protection, emergency response, criticality control, and instrumentation and control. The facility license application must identify items relied on for safety in order to limit potential radiation and chemical related impacts to workers, the public, and the environment.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1" w:name="page32"/>
    <w:bookmarkEnd w:id="3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nuclear fuel facility must also consider the impacts of the facility on the environment. An environmental report will be prepared which describes the impact of constructing the facility on the environment; adverse environmental impacts that cannot be avoided; alternatives to the proposed facility construction; the relationship between short-term uses and enhancement of long-term productivity; and irreversible commitments of resources. The NRC will consider environmental impacts in its licensing decision making process. The NRC will need to make an environmental related finding of no significant impact (FONSI) prior to issuance of a license for the fuel facility.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regulatory licensing strategy is to design nuclear fuel cycle processing facilities using proven technology, processes and safety systems and engage the NRC early in the license application development process. Our intent is to produce a high-quality application that can be reviewed and approved by the NRC in the minimum amount of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the fuel transportation side, we are evaluating the availability and use of comprehensive nuclear material packaging. The use of NRC certified transportation packages under applicable federal rules and meeting the appropriate Department of Transportation regulatory requirements for radioactive materials are necessary for nuclear fuel shipments within the United States. Additionally, international shipping requirements which follow IAEA regulations (and those of the recipient country), are needed for any international transport of nuclear fuel.</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Nuclear Safety Regulatory Approval in the United States</w:t>
      </w:r>
      <w:r>
        <w:rPr>
          <w:rFonts w:ascii="Times New Roman" w:cs="Times New Roman" w:eastAsia="Times New Roman" w:hAnsi="Times New Roman"/>
          <w:sz w:val="18"/>
          <w:szCs w:val="18"/>
          <w:color w:val="auto"/>
        </w:rPr>
        <w:t>. In order for a nuclear fuel cycle facility to be constructed and operated, a license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10 CFR Part 70) and supporting documentation needs to be prepared and submitted for review and approval by NRC. The safety basis for the facility is documented in an integrated safety analysis (ISA). An ISA is a systematic examination of the facility’s processes, equipment, structures, and personnel activities to ensure that all relevant hazards that could result in unacceptable consequences have been adequately evaluated and appropriate protective measures have been identified. NRC fuel cycle facilities are similar to chemical processing plants and ISA techniques that have been applied in the chemical industry are generally applicable to a nuclear fuel facility. A document that contains a summary of the ISA will be submitted to the NRC with the license application.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license application submitted to the NRC will also include (a) an overview of the site and processes; (b) the licensees organization, (c) the ISA methodology to be used, (d) a radiation protection program, (e) a nuclear criticality safety program; (f) a chemical process safety program; (g) a fire safety program; (h) an emergency management plan; (i) an environmental protection description; (j) a decommissioning plan; (k) a management measures program; (l) a fundamental nuclear material control and accounting plan; and (m) a physical protection plan.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environmental report detailing the potential impacts of the facility (and alternatives) will also be prepared and submitted to the NRC for review. We expect that the NRC will complete its review of our license application and environmental report within 12 to 18 months. We believe that the NRC review time can be minimized by submitting a high-quality application for a facility using proven technology and following guidance documents prepared by the NRC. Communication with the NRC both during the pre-application period and during the review will help facilitate a successful licensing review.</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obtaining a license from the NRC, we will construct the facilities in an expeditious manner. After construction is completed, it is expected that the NRC will perform an operational readiness review of the facilities and grant NANO an authorization to operate.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transport the fuel within the United States, NRC certified transportation packages will be used. If necessary, the package certificate of compliance will be amended by the package certificate holder in order to add our fabricated fuel as an authorized content for the transportation package. The certificate of compliance amendment request, if needed, will follow the appropriate regulatory requirements in the United States that are contained in 10 CFR Part 71.</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Nuclear Safety Regulatory Approval Internationally</w:t>
      </w:r>
      <w:r>
        <w:rPr>
          <w:rFonts w:ascii="Times New Roman" w:cs="Times New Roman" w:eastAsia="Times New Roman" w:hAnsi="Times New Roman"/>
          <w:sz w:val="18"/>
          <w:szCs w:val="18"/>
          <w:color w:val="auto"/>
        </w:rPr>
        <w:t>. Since the fuel facility is being licensed to produce our fuel in the United States by the NRC,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regulatory approvals will be needed.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Shipping of the fuel will occur in the United State using NRC certified transportation packages and following the appropriate regulatory requirements that are necessary for fuel shipments. For international shipments, additional shipping approvals will be needed depending on the country that the fuel will be shipped to. International shipping requirements will be addressed by following DOT and IAEA transportation requirements for transport of nuclear fuel and the recipient’s country’s requirements.</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Regulation. </w:t>
      </w:r>
      <w:r>
        <w:rPr>
          <w:rFonts w:ascii="Times New Roman" w:cs="Times New Roman" w:eastAsia="Times New Roman" w:hAnsi="Times New Roman"/>
          <w:sz w:val="18"/>
          <w:szCs w:val="18"/>
          <w:color w:val="auto"/>
        </w:rPr>
        <w:t>In addition to nuclear safety regulations, our fuel processing and transportation businesses are subject to other nuclear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such as special nuclear material safeguards, security and non-proliferation restrictions. Other U.S. federal and state permits such as air quality, liquid effluent controls, and building permits will be required depending on the fuel facility design (types and quantity of waste materials produced) and the state in which the facility will be located which has not yet been determined.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Export controls</w:t>
      </w:r>
      <w:r>
        <w:rPr>
          <w:rFonts w:ascii="Times New Roman" w:cs="Times New Roman" w:eastAsia="Times New Roman" w:hAnsi="Times New Roman"/>
          <w:sz w:val="18"/>
          <w:szCs w:val="18"/>
          <w:color w:val="auto"/>
        </w:rPr>
        <w:t>. Exports related to our fuel processing facilities and products are controlled by the NRC under applicable federal regulations. Nuclear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processing plant equipment and components are under NRC’s export licensing authority as per Appendix O to 10 CFR Part 110. This includes items that are considered especially designed for the fabrication of nuclear fuel including equipment that: (a) directly processes or controls the production flow of nuclear material; (b) seal the nuclear material with cladding; (c) check the integrity of cladding; (d) check the finished treatment of the sealed fuel; or (e) is used for assembling reactor fuel elements. This section of the regulations also includes equipment or systems of equipment specifically designed or prepared for use in a fuel processing plant. Additionally, 10 CFR 110.9a states that the export control of special nuclear material is also controlled by the NRC.</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types of controls are required to ensure compliance with NRC export control regulations. For example, 10 CFR 110.28 lists embargoed destinations for exporting nuclear materials and technology. An application to the NRC for a specific license to export special nuclear material will be required. The specific license is issued on a case-by-case basis to a single specified person or entity which submits and is legally responsible for the proposed export transactions as described on NRC Form 7 application submitted to the NRC.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16, 2025, we had 36 full time employees and 26 independent contractors with an aggregate of 100 advanced degrees, including 32 master’s degrees in engineering, science, business, taxation and philosophy, 11 PhDs and three JDs (Juris Doctors - Doctor of Law). We have employment agreements with two of our executive officers, including Mr. Jay Jiang Yu, our founder, President, Secretary and Treasurer, and Chairman of the Board, and Dr. Florent Heidet, our Chief Technology Officer and Head of Reactor Development. We also have utilized independent contractor relationships with two of our senior executive officers, including Mr. Jaisun Garcha, our Chief Financial Officer, and Mr. James Walker, our Chief Executive Officer. We intend to enter into formal employment agreements with our other senior executive officers in the future. See “ITEM 1. Business - Arrangements with Our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staff by function as of December 16, 2025.</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 Staff</w:t>
            </w:r>
          </w:p>
        </w:tc>
        <w:tc>
          <w:tcPr>
            <w:tcW w:w="3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7"/>
        </w:trPr>
        <w:tc>
          <w:tcPr>
            <w:tcW w:w="71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9"/>
                <w:szCs w:val="29"/>
                <w:color w:val="auto"/>
                <w:vertAlign w:val="superscript"/>
              </w:rPr>
              <w:t>(1)</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56"/>
        </w:trPr>
        <w:tc>
          <w:tcPr>
            <w:tcW w:w="71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Business Operation </w:t>
            </w:r>
            <w:r>
              <w:rPr>
                <w:rFonts w:ascii="Times New Roman" w:cs="Times New Roman" w:eastAsia="Times New Roman" w:hAnsi="Times New Roman"/>
                <w:sz w:val="29"/>
                <w:szCs w:val="29"/>
                <w:color w:val="auto"/>
                <w:vertAlign w:val="superscript"/>
              </w:rPr>
              <w:t>(2)</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vMerge w:val="continue"/>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an increase of headcounts for a total of five staff, or approximately 31% of the total research and development personnel in the research and development department in 2025 compared to the same period in 2024. The above-mentioned increases were due to the recruitment of new staff for our research and development.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an increase of headcounts for a total of ten staff, or approximately 48% of the business operation personnel in the business operation department in 2025 compared to the same period in 2024. The above-mentioned increases were due to the recruitment of new staff for our business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workforce operates under a hybrid model that integrates both in-office and remote work arrangements. Our management team places significant focus and attention on matters concerning our human capital assets, particularly on the specific industry and technical knowledge that are required to implement our nuclear energy-focused business plan. Accordingly, we regularly review staff development and succession plans for each of our functions to identify and develop our pipeline of talent.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we offer our staff competitive compensation packages and an environment that encourages self-development and, as a result, have generally been able to attract and retain qualified personnel and maintain a stable core management team. Our staff are not represented by a labor organization or covered by a collective bargaining agreement. We believe that we maintain a good working relationship with our staff and to date, we have not experienced any labor disputes.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10 Times Square, 30th Floor, New York, New York 10018, covering approximately 7,800 square feet. We lease this space for $33,605 per month whereby the monthly lease rent will increase by 2.5% on an annual basis. The lease is effective on April 1, 2024 and has a term ending on July 31, 2031.</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we purchased a 1.64-acre land package in the historic Heritage Center Industrial Park in Oak Ridge, Tennessee for $1.7 million. The purchase includes a 14,000 sq. ft., 2-story building to house our Nuclear Technology Branch. Situated in a world-class location for innovative nuclear technology research and development, this facility will serve as the central hub for our advanced nuclear technology design and engineering capabilities. The Nuclear Technology Branch is near the Oak Ridge National Laboratory, the Spallation Neutron Source, the National Transportation Research Center, and The University of Tennessee’s Center of Excellence in Engineering.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2025, we entered into a lease for a facility of approximately 6,800 sq. ft. in Westchester County, New York, where we have established a purpose-built facility to assemble and demonstrate the operation and viability of several non-nuclear parts and components of our nuclear microreactors in development. We lease this space for $17,000 per month whereby the monthly lease rent will increase by 2.5% on an annual basis. The lease is effective on January 1, 2025 and has a term ending on December 30, 2030.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2025, we purchased a 2.75-acre land package in Oak Brook, Illinois for $3.5 million. The purchase included a 23,537 sq. ft. building to serve as a regional demonstration and office facility to support the development of our KRONOS MMR™ Microreactor Energy System.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above-mentioned facilities and offices are adequate and suitable for our current needs and that, should it be needed, suitable additional or alternative space will be available to accommodate any such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Corporate Structure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February 8, 2022. We are primarily engaged in the design and development of mobile, easily deployable microreactors, the development of a commercial CAT II facility for fuel processing, and the creation of a commercial transportation technology and business, with the capacity to move fuel enriched up to 19.75% U235 across North America.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HALEU Energy Fuel Inc. (which we refer to herein as HALEU Energy), incorporated on August 30, 2022 under the laws of Nevada, is our wholly-owned subsidiary. Through HALEU Energy, we are seeking to develop a domestic HALEU fuel processing facility to supply the next generation of advanced nuclear reactors.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American Uranium Inc. (which we refer to herein as American Uranium), incorporated on February 9, 2022 under the laws of Nevada, is our wholly-owned subsidiary. Through American Uranium, we are engaged in the acquisition, exploration and development of uranium mineral resource properties in the U.S. and internationally. American Uranium has not commenced operation as of the date of this Report.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Advanced Fuel Transportation Inc. (which we refer to herein as Advanced Fuel Transportation), incorporated on June 21, 2023 under the laws of Nevada, is our wholly owned subsidiary. Through Advanced Fuel Transportation, we plan to manufacture a licensed high-capacity HALEU transportation system and produce a governmentally licensed and permitted high-capacity HALEU transportation system, capable of moving commercial quantities of HALEU fuel around North America. Advanced Fuel Transportation has not commenced operation as of the date of this Report.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Nano Nuclear Space Inc. (which we refer to herein as Nano Nuclear Space), incorporated on July 24, 2024 under the laws of Nevada, is our wholly-owned subsidiary. Through Nano Nuclear Space, we are seeking to explore the potential commercial applications of our developing micronuclear reactor technology in space, including the ALIP technology.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Kronos MMR Inc. (which we refer to herein as Kronos MMR), incorporated on December 20, 2024 under the laws of Nevada, is our wholly-owned subsidiary. Through Kronos MMR, we are seeking to operate the newly acquired MMR Business for the MMR® Energy System to complement our own ZEUS™ and ODIN™ microreactors in development.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Loki MMR Inc. (which we refer to herein as Loki MMR), incorporated on December 31, 2024 under the laws of Nevada, is our wholly-owned subsidiary. Through Loki MMR, we are seeking to operate our newly acquired Pylon Business related to the Pylon reactor development.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Global First Power Ltd. is a Canadian corporation which we acquired from the USNC bankruptcy estate in October 2025 as described elsewhere in this Report. Subsequently, we renamed this entity True North Nuclear Ltd. as part of the rebranding of our Canadian KRONOS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www.nanonuclearenergy.com</w:t>
      </w:r>
      <w:r>
        <w:rPr>
          <w:rFonts w:ascii="Times New Roman" w:cs="Times New Roman" w:eastAsia="Times New Roman" w:hAnsi="Times New Roman"/>
          <w:sz w:val="18"/>
          <w:szCs w:val="18"/>
          <w:color w:val="auto"/>
        </w:rPr>
        <w:t>. Access to copies of our SEC filings, corporate governance information, and other items that may be material or of interest to our investors is available via our website under “Financial Information”. The contents of our website are not incorporated by reference into this Report or in any other report or document we file with the SEC, and any references to our website are intended to be inactive textual references only. All information that we have filed with the SEC can also be accessed through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is speculative and involves a high degree of risk</w:t>
      </w:r>
      <w:r>
        <w:rPr>
          <w:rFonts w:ascii="Times New Roman" w:cs="Times New Roman" w:eastAsia="Times New Roman" w:hAnsi="Times New Roman"/>
          <w:sz w:val="18"/>
          <w:szCs w:val="18"/>
          <w:i w:val="1"/>
          <w:iCs w:val="1"/>
          <w:color w:val="auto"/>
        </w:rPr>
        <w:t>. You should carefully consider the risks and uncertainties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below, together with all of the other information contained in this Report, before deciding to invest in our securities. If any of the following risks materialize, our business, financial condition, results of operation and prospects will likely be materially and adversely affected. In that event, the market price of our common stock could decline, and you could lose all or part of your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and have not generated any revenue since our inception. We anticipate that we will continue to incur losses, and expect that we will not generate meaningful revenue for the foreseeable future.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have an accumulated deficit of $57.5 million as of September 30, 2025 and had negative operating cash flow for the year ended September 30, 2025. We expect that operating losses and negative cash flows will increase in the coming years because of additional costs and expenses related to our research and development (which we refer to herein as R&amp;D), business development activities and our status as a publicly traded company.</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and we will consider applications for government grants;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pre-revenue company in an emerging market with an unproven business model, new and unproven technologies, and a short operating history, which makes it difficult to evaluate our current business and prospects and may increase the risk of your investment.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only have a limited operating history upon which to base an evaluation of our current and future business prospects. We were founded in February 2022 and are currently in the process of developing our nuclear microreactors and other lines of business as more fully described in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section of this Report. We anticipate that it will take several years for us to commence generating meaningful revenues. Moreover, we will be required to make significant expenditures over the near and long term just to achieve any level of revenues.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 the next twelve months, we will continue to progress the development of our advanced microreactors and our vertically integrated fuel processing business, with estimated expenditures to be approximately $65 million. This allocation comprises approximately $43 million dedicated to the research, development, quality assurance, licensing, and physical test work of our microreactors and other technologies, such as our fuel transportation system. A further allocation of approximately $12 million will be allocated to the development of our planned fuel processing facilities alongside LIST, the related-party uranium enrichment company with whom we collaborate and in which we’ve made a strategic investment. The remaining approximate $10 million is earmarked for miscellaneous costs essential to propelling the progress of our microreactors, encompassing the support of current personnel engaged in executive, finance, accounting, and other administrative functions. We may also utilize our cash resources raised in 2024 and 2025 for acquisitions of complementary businesses or assets.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estimate that the development, construction, testing and licensing of our microreactors (notably the KRONOS MMR) will continue from 2026 to 2030, with the full-scale, first-of-its-kind KRONOS energy system expected to be fully operational and licensed by 2030. Our microreactor construction permit application (CPA) for KRONOS is expected to be filed in 2026, with full construction activities commencing after NRC approval of our CPA is completed. Our KRONOS microreactors are expected to be commercially launched around 2030. We also plan on providing nuclear service support and consultation services for the expanding and resurgent nuclear energy industry in 2026, both domestically and internationally. As part of our domestic initiatives, following our collaboration with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Report,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Notwithstanding the foregoing, the outlined expenditures and our anticipated timelines are estimations only. These estimates are inherently subject to significant risks and change due to unforeseen circumstances, operational challenges, adjustments in the development plans for our microreactors and other technologies and uncertainties associated with the governmental licensing approval process, and other factors beyond our control. Given that these elements may exceed our initial expectations or lie beyond our control, we cannot guarantee the accuracy of the actual expenditures and timelines.</w:t>
      </w:r>
    </w:p>
    <w:p>
      <w:pPr>
        <w:spacing w:after="0" w:line="1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evaluation of our business and prospects may be difficult in light of the risks we encounter as a company in the new and rapidly evolving market of the nuclear energy industry. These risks and difficulties include, but are not limited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necessary permits and licenses can be a lengthy and complex process, subject to rigorous safety and environmental regulations. Delays or denials in obtaining these approvals can significantly impact a project’s timeline and cost.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safety of the reactor during operation and in case of accidents is paramount. Microreactors must be designed with robust safety features to prevent accidents, and emergency response plans must be in place to mitigate any potential incidents.</w:t>
      </w:r>
    </w:p>
    <w:p>
      <w:pPr>
        <w:spacing w:after="0" w:line="161" w:lineRule="exact"/>
        <w:rPr>
          <w:rFonts w:ascii="Times New Roman" w:cs="Times New Roman" w:eastAsia="Times New Roman" w:hAnsi="Times New Roman"/>
          <w:sz w:val="18"/>
          <w:szCs w:val="18"/>
          <w:color w:val="auto"/>
        </w:rPr>
      </w:pPr>
    </w:p>
    <w:p>
      <w:pPr>
        <w:jc w:val="center"/>
        <w:ind w:left="5540" w:right="280" w:hanging="5208"/>
        <w:spacing w:after="0" w:line="53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concerns, including the risk of theft or sabotage, need to be addressed through physical security measures and cybersecurity protocols.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Microreactor and fuel supply chain projects are very capital-intensive, and securing adequate financing can be a significant hurdle. Economic risks related to cost overruns, construction delays, or market uncertainties must be managed effectively.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microreactor-generated power may be uncertain, especially in the early stages of the business. Market fluctuations and changing energy policies can affect the profitability of the venture.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Microreactors rely on specialized components and materials, which may have limited availability or long lead times. Supply chain disruptions can impact project timelines and costs.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environmental concerns, including radioactive waste management and minimizing environmental impact, is essential for regulatory compliance and public acceptance. Proper disposal and management of radioactive waste and decommissioning plans need to be in place from the outset. Failing to account for these end-of-life considerations can lead to significant liabilities. Additionally, any adverse environmental impact can lead to public opposition and regulatory penalties.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nuclear energy and technology can be a challenge. Overcoming public skepticism or opposition and gaining social acceptance for the microreactor project is important.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not be able to successfully address any of these risks or others. Failure to adequately do so could seriously harm our business and cause our operating results to suffer.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microreactors are still at the development stage and have not been put into production yet. Developing, producing, and commercializing nuclear reactors is a complex and challenging endeavor due to various technical, regulatory, financial, and public perception obstacles, which may adversely and materially affect our business, financial condition and results of operation. No assurances can be given that we will be able to develop and commercialize our microreactors and other technologies on the timelines we currently anticipate, or at all, and our failure to do so would likely lead to the loss of your investment in our company.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w:t>
      </w:r>
    </w:p>
    <w:p>
      <w:pPr>
        <w:spacing w:after="0" w:line="17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Our business plan is very costly. To develop and implement our businesses as currently planned, we will need to raise substantial amounts of additional capital, potentially hundreds of millions of dollars. We expect that we will need to make substantial investments in research and development of our products and technologies and other substantial investments before we can generate meaningful revenues. Moreover, our costs and expenses may be even greater than currently anticipated, and there may be investments or expenses that are presently unforeseen. In any case, we may be unable to raise sufficient capital to fund these costs and achieve significant revenue generation. In addition, given the relatively early stage of our company, our future capital requirements are also difficult to predict with precision, and our actual capital requirements may differ substantially from those we currently anticipate.</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we will need to seek equity or debt financing to finance a large portion of our future capital requirements. Such financing might not be available to us when needed or on terms that are acceptable, or at all. We will likely issue additional equity securities and may issue debt securities or otherwise incur debt in the future to fund our business plan. If we issue equity or convertible debt securities to raise additional funds, our existing stockholders will experience dilution, and the new equity (including preferred equity) or debt securities or other indebtedness may have rights, preferences, and privileges senior to those of our existing stockholders. If we incur additional debt, it may increase our leverage relative to our earnings or to our equity capitalization, requiring us to pay additional interest expenses.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capital in the form of equity or debt to carry out our business plan is subject to several risks, including general economic and market conditions, as well as investor sentiment regarding our planned business. These factors may make the timing, amount, terms and conditions of any such financing unattractive or unavailable to us. The prevailing macroeconomic environment may increase our cost of financing or make it more difficult to raise additional capital on favorable terms, if at all. If we are unable to raise sufficient capital, we may have to significantly reduce our spending and/or delay or cancel our planned activities.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Finally, we plan to apply for government funding in the form of grants or other funding from agencies such as the DOE. We may not receive such funding for a variety of reasons, including the size of our company and the government’s assessment of our prospects. Even if we do receive such funding, the government could condition such funding on contractual provisions such as granting the government rights to our technology or products. Moreover, federal funding is subject to at least annual Congressional appropriations, which may not be forthcoming. The federal budget process is complex — the budget justification and Presidential budget requests are often incomplete; Congress may appropriate different amounts than those requested; and the DOE has varying degrees of discretion to reprogram or transfer appropriated funds. Nonetheless, to the extent Presidential budget requests or DOE budget justifications result in a shift of Congressional appropriations away from SMR funding generally or projects we are developing specifically, those shifts could materially and adversely affect the amount of DOE funding available to us and our business.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we might not be able to obtain any financing, and we might not have sufficient capital to conduct our business as projected, both of which could mean that we would be forced to curtail or discontinue our operations. If we cannot raise additional capital when we need or want to, our operations and prospects could be negatively affected, and our business could fail.</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officers and directors are presently parties to securities law and fiduciary duty lawsuits relating to our public statements made since our initial public offering. Our reputation may be damaged by these suits, and if we are unable to have them dismissed or should we receive adverse outcomes, our business and results of operations may suffer, including as a result of our indemnification obligations to our directors and officers.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9, 2024, a putative securities class action lawsuit was filed against us and certain of our officers in the United States District Court for the Southern District of New York, captioned Yvette Yang v. Nano Nuclear Energy Inc., et al., No. 1:24-cv-06057 (S.D.N.Y.). On October 28, 2024, the court entered an order appointing Hongyu Xie as lead plaintiff. On January 6, 2025, lead plaintiff filed an amended complaint, naming as defendants the Company, Jay Yu, James Walker, and Jaisun Garcha. The amended complaint asserts claims for alleged violations of Sections 10(b) and 20(a) of the Securities Exchange Act of 1934 on behalf of persons who purchased or otherwise acquired our securities from May 8, 2024 through July 30, 2024. The claims in the amended complaint relate to statements made by us and/or our directors or officers concerning the Company’s business and prospects, including our progress toward development of nuclear microreactors and fuel manufacturing facilities. On February 21, 2025, all defendants filed a motion to dismiss the amended complaint pursuant to Rules 12(b)(6) and 9(b) of the Federal Rules of Civil Procedure, for failure to state a claim upon which relief can be granted. On February 24, 2025, the court sua sponte entered an order permitting lead plaintiff to file a second amended complaint or stand on her amended complaint. On March 14, 2025, lead plaintiff filed a second amended complaint, asserting the same claims asserted in the amended complaint. On April 11, 2025, all defendants filed a motion to dismiss the second amended complaint pursuant to Rules 12(b)(6) and 9(b) of the Federal Rules of Civil Procedure, for failure to state a claim upon which relief can be granted. A hearing on the motion has not been scheduled. We dispute the allegations in the amended complaint and intend to defend the case vigorously. The case is at an early stage and we cannot reasonably estimate the amount of any potential financial loss or cost that could result from the lawsuit.</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on August 23, 2024, a putative shareholder derivative lawsuit was filed purportedly on behalf of our company, as nominal defendant, against certain of our directors and officers in the Eighth Judicial District Court of Clark County, Nevada, captioned William Latza, Derivatively on Behalf of Nano Nuclear, Inc. v. James Walker, et al., No. A-24-900423-C. On December 20, 2024, plaintiff filed an amended complaint, alleging claims for alleged breach of fiduciary duties, corporate waste, market manipulation, and racketeering, among others. The claims asserted in the amended complaint relate to our management, business and prospects, including, among others, our progress toward microreactor development, the qualifications of our management, and our investment in LIS Technologies Inc. On behalf of our company, the plaintiff seeks damages from the director and officer defendants and an order directing our company to take actions to reform and improve corporate governance and internal procedures. On February 4, 2025, our company filed a motion to dismiss the amended complaint pursuant to Rule 23.1 of the Nevada Rules of Civil Procedure for failure to make a demand or alleged demand futility, and our directors and officers filed a motion to dismiss the amended complaint pursuant to Rules 12(b)(5) and 23.1 of the Nevada Rules of Civil Procedure for failure to state a claim on which relief can be granted and plaintiff’s lack of standing. On April 24, 2025, the court heard and granted both the Company’s motion to dismiss and the directors’ and officers’ motion to dismiss without leave to amend. On October 30, 2025, the court entered a formal written order and statement of decision granting the motions to dismiss. On November 21, 2025, plaintiff filed a notice of appeal with the Nevada Supreme Court. No briefing dates for the appeal have been scheduled. The director and officer defendants deny all allegations of liability and intend to continue vigorously defending against all claims.</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Ongoing securities law and fiduciary duty lawsuits may divert significant financial and human resources away from our core business operations, increasing legal expenses and reducing available capital for other strategic initiatives. If the lawsuits result in adverse outcomes, such as judgments or settlements, we could face substantial monetary damages, penalties, or fines, which could negatively impact our financial position, cash flow, and overall business operations. These lawsuits may harm our reputation with investors, suppliers, and business partners. Even if we successfully defend against the claims, the mere existence of these lawsuits may erode confidence in our management, corporate governance, and financial reporting. The uncertainty surrounding the outcome of these lawsuits could create volatility in our stock price, leading to a decrease in investor confidence and possible difficulties in raising future capital.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officers and directors, who are critical to our leadership and decision-making, may be distracted by these lawsuits, which could lead to delays or inefficiencies in executing our business strategy. If these lawsuits persist or lead to unfavorable publicity, it may become more challenging to attract and retain qualified employees, including key executives, due to perceived instability or legal risk associated with our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current lawsuits may encourage other parties to file additional claims or lawsuits, increasing our legal risks and further burdening our resources. The case is still at an early stage and we cannot reasonably estimate the amount of any potential financial loss or cost that could result from this lawsuit. If we are unable to have them dismissed or should we receive adverse outcomes, our business and results of operations may suffer. The lawsuits may prompt increased scrutiny from regulatory authorities, leading to additional investigations, fines, or compliance requirements, which could further affect our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under certain circumstances, we may have contractual or other legal obligations to indemnify and to incur legal expenses on behalf of investors, directors, officers, employees, or other third parties. Our business contractual and legal obligations related to indemnification and the coverage of legal expenses for investors, directors, officers, employees, and other third parties are critical components of our risk management and corporate governance. These obligations are typically outlined in various agreements, contracts, and corporate bylaws.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our company, the key aspects of indemnification will be included in our directors and officers (D&amp;O) insurance, our corporate governing documents, and investor agreements and other relevant arrangements. Nuclear companies often purchase director and officer insurance policies to indemnify their directors and officers against personal liability for actions taken in their roles. These policies provide financial protection for individuals in the event of lawsuits, regulatory actions, or other legal proceedings related to their corporate duties. The corporate governing documents may include provisions that obligate our company to indemnify its directors, officers, and sometimes employees to the extent allowed by law, with some conditions or limitations on indemnification as applicable. In cases where investors, such as venture capitalists or private equity firms, are involved, investment agreements may include indemnification clauses that protect the investors from certain liabilities related to their investment in our company. In our agreements with third parties, such as suppliers, partners, or service providers, indemnification provisions may also be included to specify who is responsible for indemnifying the other party in the event of specified breaches, disputes, or liabilities.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be required to cover the legal expenses and other costs on behalf of individuals or third parties incurred during any applicable legal proceedings, which may divest our company’s resources and the management’s attention, thus materially and adversely affect our business, financial condition and results of operations and result in our inability to establish and grow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production and commercialization of nuclear micro reactors as planned, including within the timelines we currently anticipate, will adversely and materially affect our business, financial condition, and result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 the process of developing the next-generation advanced nuclear microreactors. With these products, we are advancing the development of the next generation of portable, on-demand capable, advanced microreactors. Considering construction timelines, licensing timeframes, sourcing key materials and fuel, we currently estimate that our KRONOS MMR reactor will be commercially ready in the early 2030s. Given the priority we are placing on KRONOS, our other reactor projects will lag behind in the timing for their development. However, the development, licensing, construction and testing of advanced nuclear reactors is highly uncertain. Even if KRONOS or our other reactor designs receive regulatory approval, we may be unable for a variety of reasons to commercial launch the business of selling our reactors and scaling revenues from such sales. If our core plan to develop, and ultimately manufacture or commercialize KRONOS or any of our other products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developing nuclear fuel facilities designed to supply products and materials necessary for the successful operation of the growing advanced nuclear energy industry. The failure of completion and operation of any such facility as planned will adversely and materially affect our business, financial condition, and result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Building nuclear fuel processing facilities to produce commercial nuclear material involves a highly specialized and regulated process. There will be specific challenges at each stage of development, including but not limited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necessary licenses and permits from regulatory authorities can be a complex and time-consuming process. Compliance with stringent safety, security, and environmental regulations is crucial.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safety and security of the facilities and the nuclear materials within it is of utmost importance. Robust safety measures and security protocols must be implemented to prevent accidents, theft, or unauthorized access.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Fabricating nuclear fuel and components requires specialized knowledge and expertise in nuclear materials, metallurgy, and manufacturing processes. Recruiting and retaining a skilled workforce can be a challenge.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strict quality control and assurance processes is essential to ensure the reliability and safety of the nuclear fuel. Any defects or substandard materials can have serious consequences.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operating a nuclear fuel cycle facility can be capital-intensive. Managing costs, including construction, operational, and maintenance expenses, is essential for the facility’s financial viability.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 regulatory approvals, and unforeseen technical challenges can extend the timeline for facility development, potentially affecting market entry and revenue generation.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nuclear fuel can fluctuate based on the deployment of SMRs and Microreactors. Competition from other fuel suppliers and alternative energy sources can also affect market share and profitability.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2023, we established a subsidiary, HALEU Energy, to concentrate specifically on creating a domestic HALEU fuel processing facility to supply the next generation of advanced nuclear reactors. In February 2023, we were selected as an official founding member of the DOE’s new HALEU Consortium to develop the U.S.’ domestic capability for the manufacture of HALEU and its processing. Currently we are still in the process of developing such facility and target to have such facility in operation early next decade.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we announced a $2 million strategic investment in and entry into a collaboration with a laser-based uranium enrichment technology company, LIST, which is a related party. Through this investment and related collaboration, we aim to assist in advancing LIST’s technologies to secure a reliable low enriched uranium fuel supply for our future operations and the broader nuclear energy industry. The parties intend that LIST will provide us with enriched UF6 at no cost to be fabricated and sold to customers, with LIST to receive compensation as part of a profit-sharing arrangement to be agreed to between the companies in the future. Through collaboration with LIST, we intend to construct some supporting facilities alongside LIST’s enrichment facility, including the deconversion facility. The construction of these facilities and related activities are subject to similar risks to those outlined above with respect to our own HALEU fuel processing facility. Further, there is a risk that LIST’s technology will itself not advance to commercial viability or secure applicable regulatory approvals. All of the foregoing creates the risk of loss with respect to our investment in and collaboration with LIST.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plan to complete and operate any fuel cycle facilities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produce a regulatorily licensed, high-capacity HALEU transportation system, capable of moving commercial quantities of HALEU fuel around North America and worldwide. The failure of production and commercialization of such products as planned will adversely and materially affect our business, financial condition, and result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produce a regulatorily licensed, high-capacity HALEU transportation system, capable of moving commercial quantities of HALEU fuel around North America and beyond. We received an exclusive license for a high capacity HALEU fuel transportation basket design in April 2024, which will form the basis of a complete transportation package able to move the most commonly utilized fuel. The license grants us, as the licensee, exclusive rights for the use and development of certain transportation technology. If developed and commercialized, we believe this product would be the only one of its kind in North America and would serve as the basis for a domestic HALEU transportation company capable of providing commercial quantities of HALEU fuel.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signed an agreement with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are targeting to have our fuel transportation business in operation by 2028. However, there is no assurance that we can successfully produce such a product and operate such a business as planned. If our plan to produce and commercialize such product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aim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aim to provide nuclear service support and consultation services for the expanding and resurgent nuclear energy industry, both domestically and internationally. This business opportunity represents our most near-term revenue generating opportunity and we provided initial consulting services in 2025. Our goal is more formally establish, launch and scale our consulting services business, both domestically and internationally, in 2026. As part of our domestic initiatives, following our collaboration with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Report,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No assurances can be given that we will be able to successfully acquire or establish and thereafter grow our own consultation business, and our failure to do so would adversely affect our near-term revenue prospects. Moreover, the outlined expenditures and the timelines are estimations only. These estimates are inherently subject to significant risks and change due to unforeseen circumstances, operational challenges, adjustments in the microreactor development plan and uncertainties associated with the licensing approval process, and other factors beyond our control. Given that these elements may exceed our initial expectations or lie beyond our control, we cannot guarantee the accuracy of the actual expenditures and timelines.</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increased demand in personnel and nuclear related business activity will create increased demand for personnel involved in the licensing and regulatory aspects of the industry, which provide us with potential to root in this area. We have already identified several nuclear services and consultancy providers, which have been assessed as potentially suitable for acquisition by our company. However, there is no assurance that we can acquire them successfully or as planned. If our plan to start the consulting services is delayed, suspended, interrupted or cancelled for whatever reason, our business, financial condition and results of operations will be adversely and materially disrupted, and the value of our securities may significantly decline or become worthless.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firstLine="324"/>
        <w:spacing w:after="0" w:line="282" w:lineRule="auto"/>
        <w:rPr>
          <w:sz w:val="20"/>
          <w:szCs w:val="20"/>
          <w:color w:val="auto"/>
        </w:rPr>
      </w:pPr>
      <w:r>
        <w:rPr>
          <w:rFonts w:ascii="Times New Roman" w:cs="Times New Roman" w:eastAsia="Times New Roman" w:hAnsi="Times New Roman"/>
          <w:sz w:val="18"/>
          <w:szCs w:val="18"/>
          <w:color w:val="auto"/>
        </w:rPr>
        <w:t>Providing a nuclear consulting service as a business comes with a unique set of difficulties and challenges due to the complexity and sensitivity of the nuclear industry. These challenges and difficulties include, but are not limited to:</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valuable nuclear consulting services requires a deep understanding of nuclear science, engineering, and technology. Maintaining a team with the necessary expertise can be difficult.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on nuclear projects involves addressing safety and security issues. Ensuring that clients are compliant with safety protocols and security measures is a critical responsibility.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sensitive nuclear information and data requires strict security measures and confidentiality protocols to protect classified or proprietary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consultant, we may face liability issues if our advice leads to undesirable outcomes or non-compliance with regulations. Managing and mitigating these risks is essential.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nuclear consulting market can be competitive, with established consulting firms and experts in the field. Standing out and securing clients can be challenging, especially for newcomers.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nuclear industry is evolving with new technologies, safety standards, and market dynamics. Staying updated and adapting to these changes is vital to remain relevant and competitive.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multiple projects for different clients with varying timelines and needs can be challenging. Effective project management is essential to meet deadlines and deliver quality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and managing client expectations can be demanding. Clients may have high expectations for the outcomes of their nuclear projects, and effective communication is essential to align expectations with reality.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data analytics and technological advancements can be challenging, especially when dealing with legacy system in the nuclear industry.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our nuclear consulting business to be viable and grow, it will be crucial for us to build a strong team with diverse expertise, stay current with industry trends and regulations, prioritize security and confidentiality, and maintain high ethical standards. Effective communication, networking, and relationship-building with our clients and the regulatory authorities are also essential for establishing our credibility and trust in the industry. Notwithstanding the foregoing, there is no assurance we can address these or similar challenges and difficulties, the failure of which may adversely and materially affect our business, financial condition and results of operation.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will continue to pursue strategic acquisitions. These acquisitions may be difficult to consummate and integrate and may create losses for us or not provide us with the anticipated benefits. We may not be able to successfully integrate our previous and future acquisitions or generate sufficient revenues or earnings from future acquisitions, which could cause our business to suffer.</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undertaken (as in the case of our acquisition of the ALIP technology, and our acquisition of the USNC Assets and GFPL) and will continue to pursue strategic acquisitions of complimentary or additive businesses or assets to both diversify and further vertically integrate our business lines and accelerate our growth. If we buy a company, a division of a company or assets that we feel are complementary to our business, there can be no assurance that we will be able to profitably manage such business or successfully integrate such business or assets without substantial costs, delays or other operational or financial problems.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faced with the risk that the businesses or assets we acquire will not achieve anticipated benefits, revenues and earnings. Additionally:</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personnel of the acquired business may decide not to work for us;</w:t>
      </w:r>
    </w:p>
    <w:p>
      <w:pPr>
        <w:spacing w:after="0" w:line="225" w:lineRule="exact"/>
        <w:rPr>
          <w:rFonts w:ascii="Times New Roman" w:cs="Times New Roman" w:eastAsia="Times New Roman" w:hAnsi="Times New Roman"/>
          <w:sz w:val="18"/>
          <w:szCs w:val="18"/>
          <w:color w:val="auto"/>
        </w:rPr>
      </w:pPr>
    </w:p>
    <w:p>
      <w:pPr>
        <w:ind w:left="5540" w:right="2780" w:hanging="5208"/>
        <w:spacing w:after="0" w:line="53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at an acquired business may impair its relationships with employees and customers;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uniform standards, controls, procedures and policies among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infrastructure, logistics and system integration;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liable for legal claims (including environmental claims) arising out of activities of the acquired businesses prior to our acquisitions, some of which we may not have discovered during our due diligence, and we may not have indemnification claims available to us or we may not be able to realize on any indemnification claims with respect to those legal claims;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assume risks associated with deficiencies in the internal control of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unexpected accounting challenges which could adversely impact our ability to consummate acquisitions or achieve the anticipated benefits to our company of acquisitions;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or receive insufficient management attention.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face these and similar risks in connection with our already completed acquisitions. With respect to our ALIP technology, we may not be able to successfully integrate the ALIP technology into our microreactor designs, which could lead to a loss of our investment in this technology. We also faced personnel challenges with this asset, which has delayed our timing for the ALIP project. Moreover, we anticipate, pending the successful completion of the SBIR III program for the ALIP technology (which we are funding), that we will seek to separately commercialize the ALIP technology as a means of generating revenues. Although we anticipate commercializing ALIP in 2026, there is no assurance that we can commercialize ALIP within the estimated timeline, if at all. We are thus faced with the risks that the SBIR Phase III may not be completed on a timely basis or at all, and further that we may be unable to commercially sell or license the technology (or products derived from the technology) to third parties.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our acquisition of the USNC Assets, these assets have become the lead projects of our company, notably with respect to the KRONOS MMR reactor design. We are placing significant emphasis on developing and ultimately commercializing KRONOS MMRs, and our inability to do so for any reason could lead to the loss of our investments in acquiring and developing such assets.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future acquisitions may require us to obtain additional, perhaps substantial, equity or debt financing, which may not be available on attractive terms. Moreover, to the extent an acquisition transaction financed by non-equity consideration results in additional goodwill, it will reduce our tangible net worth, which might have an adverse effect on our credit and bonding capacity.</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fluctuations in our operating results and rate of growth and fail to meet revenue and earnings expectations, our stock price may fall rapidly and without advance notice.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our limited operating history, our evolving business model and the unpredictability of our emerging industry, we may not be able to accurately forecast our future revenues and earnings or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on both the growth of demand for the products and services we are going to offer in the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Our revenue and operating results may also fluctuate due to other factors, including:</w:t>
      </w:r>
    </w:p>
    <w:p>
      <w:pPr>
        <w:spacing w:after="0" w:line="225"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of design, developing, manufacturing and sales of smaller, simpler, and safer advanced portable clean energy solutions, including nuclear reactors.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domestic fuel cycle facilities to supply the next generation of advanced nuclear reactors with fuel.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 regulatorily licensed, high-capacity HALEU transportation system, capable of moving commercial quantities of a variety of HALEU fuels.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nuclear energy that add barriers to our business and have a negative effect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introductions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our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geographic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 in our service or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expect that our operating results may fluctuate significantly on a quarterly basis. We believe that period-to-period comparisons of our operating results may not be meaningful, and you should not rely upon them as an indication of future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budget delays, federal debt ceiling limitations, or reductions in government spending could adversely impact government spending for the products and services we provide.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Federal government spending reductions could adversely impact U.S. government programs related to our products or services. While we believe many of our programs do not conflict with the U.S. government’s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affect the viability of the suppliers and subcontractors under our programs. These and similar risks are associated with our participation with LIST in the DOE’s LEU Acquisition Program. Such program could be eliminated or subject to reduction, and no assurances can be given that we will be allocated any material funding from the LEU Acquisition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electricity markets experience very low power prices due to a combination of subsidized renewables and low-cost fuel sources, and we may not be able to compete in these markets unless the benefits of the carbon-free, reliable and/or resilient energy generation are sufficiently valued in the market. Given the relatively lower electricity prices in the United States when compared to many international markets, the risk may be greater with respect to business in the United States.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SMRs generating nuclear power is not yet established and may not achieve the growth potential we expect or may grow more slowly than expected.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for SMRs has not yet been established. Our estimates for the total addressable market are based on a number of internal and third-party estimates, including our potential contracted revenue, the number of potential customers, assumed prices and production costs, our ability to leverage our current logistical and operational processes, and general market conditions. However, our assumptions and the data underlying our estimates may not be correct and the conditions supporting our assumptions or estimates may change at any time, thereby reducing the predictive accuracy of these underlying factors. As a result, our estimates of the annual total addressable market for our services, as well as the expected growth rate for the total addressable market for our services, may prove to be incorrect.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Two of our executive officers are presently engaged by us on an independent contractor basis, and two of our executive officers are engaged by us as employees. Jay Jiang Yu, our founder, President, Secretary and Treasurer, and Chairman of the Board, and Dr. Florent Heidet, our Chief Technology Officer and Head of Reactor Development, are employed under employment agreements. Almost all of our executive officers have management, advisory or directorship positions with other companies and may allocate their time to other businesses, which may pose certain risks in fulfilling their obligations with us.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for Jay Jiang Yu, our founder, President, Secretary and Treasurer, and Chairman of the Board, and Dr. Florent Heidet, our Chief Technology Officer and Head of Reactor Development, with each of whom we have an employment agreement, all of our other executive officers are presently engaged by us as independent contractors due to the fact that they each have management, advisory or directorship positions with other companies and may allocate their time to other businesses. Notwithstanding the foregoing, Mr. Yu has concurrently served on the board and management team of several companies and currently allocates at least 15 hours per week to his roles at other companies. Mr. Yu also concurrently serves as president and chairman of the board of LIST.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James Walker, our Chief Executive Officer, currently allocates at least five hours per week to support Ares, where he is responsible for the construction of plants, purchases of land, operations, marketing, financing, safety regulation compliance, and shareholder relations. He is also concurrently serving on the board of directors of several small-cap publicly traded companies and a consultant to LIST. Jaisun Garcha, our Chief Financial Officer, is currently, and will continue to, work full-time with us, and is currently also working as a consultant to LIST.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executive officers are not employees of our company (Mr. Yu and Dr. Heidet excepted), instead, they serve as independent contractors and can be terminated by either party at any time. They may pursue any other activities and engagements during their terms of agreements with us. The existing external commitments and any future commitments of our officers to other companies may potentially divert their significant time and attention away from the strategic and operational needs of our company. Their divided focus could lead to delays in decision-making, hinder effective communication within our organization, give rise to potential conflicts of interest, and introduce a divergence in priorities, consequently impacting the overall efficacy of leadership. Additionally, the potential for conflicting interests arising from commitments to multiple entities may pose challenges in aligning those officers’ priorities with the long-term goals and interests of our company, thereby introducing an element of uncertainty and potential disruption to our operations. It is essential to acknowledge and address these complexities to ensure that our officers can effectively balance their responsibilities and fulfill their commitments to our company while maintaining transparency and integrity in their various roles. Failure to do so may adversely affect our business, financial conditions, and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operations grow as planned, we expect to be required to expand our sales and marketing, research and development, supply and manufacturing functions, and there is no guarantee that we will be able to scale our business as planned. For example, in 2025 we launched an initiative to recruit engineers in the Midwest area of the U.S. to support our KRONOS efforts at UIUC. If we are not able to grow our company as our business requires, or achieve and maintain cost-competitiveness in the United States or elsewhere, our business could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target customers operate in a politically sensitive environment, and the public perception of nuclear energy can affect our target customers and us.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Nuclear energy is closely tied to government policies and regulations due to its potential risks and benefits. Governments often play a central role in the approval, regulation, and funding of nuclear projects. Changes in political leadership or shifts in public sentiment can lead to shifts in nuclear energy policies, which can affect the viability and profitability of nuclear businesses. The regulatory framework for nuclear energy is stringent and subject to public scrutiny. Regulatory decisions can influence the cost, timeline, and feasibility of nuclear projects. Public concerns and political pressure can lead to tighter regulations or stricter enforcement of existing ones. Government policies and incentives, often influenced by public opinion and political considerations, can directly impact the growth and competitiveness of nuclear energy. Favorable policies such as subsidies, tax credits, or incentives for clean energy can attract more customers to the nuclear energy sector.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public perception of nuclear energy can range from positive to highly skeptical or negative, often influenced by historical events, accidents, and media coverage. Negative public sentiment can lead to protests, legal challenges, and public resistance to new nuclear projects, potentially delaying or preventing their development. Nuclear facilities often need to engage with local communities where they operate. Building and maintaining trust with these communities is crucial for obtaining social acceptance. Public opposition, fueled by concerns about safety or environmental impact, can hinder a company’s ability to establish a presence in a particular location. Public perception of nuclear safety and viability can also influence the willingness of investors and financial institutions to fund nuclear projects. Negative public sentiment can increase financing costs and make it more difficult to secure the necessary capital. However, public preferences for energy sources can influence the demand for nuclear energy. A positive perception of nuclear power as a clean and reliable energy source can boost its market appeal. Conversely, public concerns about nuclear safety and waste disposal can lead to decreased demand, impacting a nuclear company’s customer base. Additionally, public perception of a country’s nuclear industry can affect its ability to export nuclear technology, reactors, and fuel assemblies to international customers. International perceptions of safety and reliability play a role in export decisions.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the risks associated with nuclear energy materials and the public perception of those risks can affect our business. Opposition by third parties can delay or prevent the construction of new nuclear power plants and can limit the operation of nuclear reactors. Adverse public reaction to developments in the use of nuclear power could directly affect our customers and indirectly affect our business. In the past, adverse public reaction, increased regulatory scrutiny and litigation have contributed to extended construction periods for new nuclear reactors, sometimes delaying construction schedules by decades or more or even shutting down operations. Adverse public reaction could also lead to increased regulation or limitations on the activities of our customers, more onerous operating requirements or other conditions that could have a material adverse impact on our target customers and our business.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Accidents involving nuclear power facilities, including but not limited to events like the Three Mile Island, Chernobyl and Fukushima Daiichi nuclear accidents, or terrorist acts or other high-profile events involving radioactive materials could materially and adversely affect our target customers and the markets in which we operate and increase regulatory requirements and costs that could materially and adversely affect our business.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prospects are dependent upon a certain level of public support for nuclear power. Nuclear power faces strong opposition from certain competitive energy sources, individuals and organizations.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or a dampening of the favorable regulatory climate needed to introduce new nuclear technologies, all of which could negatively impact our business and prospects. As a result of the Fukushima accident, some countries that were considering launching new domestic nuclear power programs delayed or cancelled the preparatory activities they were planning to undertake as part of such programs. If accidents similar to the Fukushima disaster or other events, such as terrorist attacks involving nuclear facilities, occur, public opposition to nuclear power may increase, regulatory requirements and costs could become more onerous, which could materially and adversely affect our business and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gain approval for, protect or enforce our intellectual property or proprietary rights, our business and operating results could be harmed.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own the rights to the significant majority of our intellectual property. We received an exclusive license for a high capacity HALEU fuel transportation basket design in April 2024, which will form the basis of a complete transportation system to move a range of fuel types. The license grants us, as the licensee, exclusive rights for use and development of the technology. In addition, the licensor is not permitted to license the technology to any other parties within the specified scope. We may enter into other license agreements in the future for our business development. There is no assurance that we, as the licensee, will be able to obtain or renew, if at all or in a timely manner, any of the license agreements upon their expiration. Failure to obtain or renew, or early termination of, any such agreement may materially and adversely affect our business, financial conditions and results of operations.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regard the protection of our trade secrets, trademarks, licenses, trade dress, patents and copyrights (if any, in future),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consulting agreements, and/or services or employment agreements that contain non-disclosure and non-use provisions with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have nineteen issued patents related to our technology both in the United States and in foreign jurisdictions. Detecting infringement and enforcing patent rights both in the United States and abroad can be difficult, time-consuming, and could result in substantial costs, and the outcome of enforcement is unpredictable. We also believe that developing technology more comprehensively before patenting can provide our company with certain potential strategic advantages. We are balancing the advantages of comprehensive development with the risk of potential delays in or inability of securing patent protection, and we continue to consult qualified intellectual property counsel so we can make informed decisions regarding the timing of other patent filings and the overall protection strategy. Patent laws, and scope of coverage afforded by them, are in constant flux. Under “first-to-file” patent systems both in the United States and abroad, inventors and companies may be compelled to file patent applications more frequently to preserve rights in their inventions, which may favor larger competitors that have the resources to file more patent applications. Current patent laws may incentivize third parties to challenge any issued patent at the USPTO, as opposed to having to bring such an action in U.S. federal court. Any invalidation of a patent claim could have a significant impact on our ability to protect the innovations contained within our products and could harm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in the future.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pursue the registration of our domain names, trademarks and service marks in the United States. We may seek to protect our trademarks, patents and domain names in an increasing number of jurisdictions in future, a process that is expensive and time-consuming and may not be successful or which we may not pursue in every location.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unpatented proprietary technology, trade secrets, designs, experiences, workflows, data, processes, software and know-how.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being maintained in confidence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consulting agreements, and/or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actions by our current or future partners and suppliers and could lose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accused of infringing intellectual property rights of third parties and be subject to content restrictions under relevant laws, which may materially and adversely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may claim that the technology used in the operation of our business infringes upon their intellectual property rights. Although we have not faced any litigation involving direct claims of infringement by us in the past, the possibility of intellectual property claims against us increases as we continue to grow. Such claims, regardless of merit, may result in our expenditure of significant financial and management resources, injunctions against us, or payment of damages. We may need to obtain licenses from third parties who allege that we have infringed their rights, and such licenses may not be available on terms acceptable to us or at all. These risks have been amplified by the increase in third parties whose sole or primary business is to assert such claims.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such litigation or proceedings could cause us to pay damages, as well as legal and other costs, limit our ability to conduct business or require us to change the manner in which we operate and our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Regulation and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variety of extensive and evolving government laws and regulations. Changes in and/or failure to comply with such laws and regulations could have a material adverse effect on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new or changing international, federal, state, and local regulations, including laws relating to the design, development, manufacturing, marketing, servicing, or sales of our nuclear-fuel related products. Such laws and regulations may require us to pause sales and modify our products, which could result in a material adverse effect on our ability to generate revenues (or any future revenues) and our financial condition generally. Such laws and regulations can also give rise to liability such as fines and penalties, property damage, bodily injury, and cleanup costs. Failure to comply with such laws and regulations could lead to the withdrawal or recall of our products from the market, delay our projected revenues, increase cost, or make our business unviable if we are unable to modify our products to comply. Capital and operating expenses needed to comply with laws and regulations can be significant, and violations may result in substantial fines and penalties, third-party damages, suspension of production or a cessation of our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Regulatory risk factors associated with our business also include our ability to obtain additional applicable approvals, licenses or certifications from regulatory agencies, if required, and to maintain current approvals, licenses or certifications. Any regulatory delays, delays imposed as a result of regulatory inspections and changing regulatory requirements, may impede our planned actions from being implemented or completed, many of which may be out of our control. Any natural disasters, changes in governmental regulations or in the status of our regulatory approvals or applications or other events that force us to cancel or reschedule our product development and production, could have an adverse impact on our business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intend to conduct international cross-border business and expand our operations abroad, we may engage business partners and third-party intermediaries to market our products and to obtain necessary permits, licenses and other regulatory approvals overseas.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We cannot assure you that all of our employees and agents will not take actions in violation of our policies and applicable law, for which we may be ultimately held responsible. As we intend to expand our international business, our risks under these laws may increase.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our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 Associated with Our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could be harmed.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prospect are highly dependent on the continued services of our senior management team, particularly our Chief Executive Officer James Walker, our President, Secretary, Treasurer, and Chairman of the Board Jay Jiang Yu, our Chief Financial Officer Jaisun Garcha, and our Chief Technology Officer and Head of Reactor Development Dr. Florent Heidet. Our senior management team has extensive experience in the energy and finance industries, and we believe that their depth of experience is instrumental to our continued success. See “</w:t>
      </w:r>
      <w:r>
        <w:rPr>
          <w:rFonts w:ascii="Times New Roman" w:cs="Times New Roman" w:eastAsia="Times New Roman" w:hAnsi="Times New Roman"/>
          <w:sz w:val="18"/>
          <w:szCs w:val="18"/>
          <w:i w:val="1"/>
          <w:iCs w:val="1"/>
          <w:color w:val="auto"/>
        </w:rPr>
        <w:t>ITEM 10. Directors, Executive Officers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for further details. The loss of any one or more members of our senior management team, for any reason, including resignation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ability to execute our plans and grow our company will depend in large part on our ability to attract, motivate, develop, retain and maintain a sufficient number of other highly skilled personnel, including engineers, nuclear energy professionals, finance, marketing and sales personnel. Maintaining a diverse team of skilled personnel who can collectively address the technical, regulatory, financial, and operational aspects of our business, including but not limited to, nuclear engineers and scientists, regulatory and licensing experts, safety and security experts, quality control and assurance managers, environmental and waste management experts, and financial and legal professionals, is also essential to our business. Our goal is to build a well-rounded and experienced team with expertise in these areas to ensure the development, operation, and commercialization of our business, while ensuring safety, regulatory compliance, and long-term viability.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However, if we are unable to attract, retain, and maintain our senior management team and other highly skilled personnel, we may not be able to implement our business strategy, and our business, financial condition and results of operations may be adversely and materially affected. If any of our senior management team members were to terminate his or her employment with us, there can be no assurance that we would be able to find suitable replacements in a timely manner, at acceptable cost or at all. The loss of services of senior management team members or the inability to identify, hire, train and retain other qualified and managerial personnel in the future may materially and adversely affect our business, financial condition, results of operations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16, 2025, Mr. Jay Jiang Yu, our President and Chairman, beneficially owns an aggregate of approximately 21.37% shares of our common stock. Due to his ownership of a material percentage of our outstanding common stock, Mr. Yu could have significant influence in determining the outcome of any corporate transaction or other matter submitted to the stockholders for approval, including mergers, consolidations, the appointment of directors and other significant corporate actions. Without the consent of Mr. Yu, we may be prevented from entering into transactions that could be beneficial to us or our other stockholders. Moreover, our interests and the interests of Mr. Yu may not always be aligned, which could create conflicts of interest of Mr. Yu and may not be resolved in favor of all of our stockholders or may otherwise harm our company. For more information regarding Mr. Yu’s ownership of our company, see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line="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in accordance with Section 404 of the Sarbanes-Oxley Act could have a material adverse effect on our business and stock price.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completion of our initial public offering in May 2024, we were a private company with limited accounting personnel to adequately execute our accounting processes and limited supervisory resources with which to address our internal control over financial reporting. As a private company, we did not design or maintain an effective control environment as required of public companies under the rules of the SEC implementing Section 404 of the Sarbanes-Oxley Act and therefore were not required to make a formal assessment of the effectiveness of our internal control over financial reporting for that purpose.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becoming a publicly traded company, we became required to comply with the SEC’s rules implementing Sections 302 and 404 of the Sarbanes-Oxley Act, which require our management to certify financial and other information in our quarterly and annual reports and provide an annual management report on the effectiveness of controls over financial reporting. Importantly, given the growth of our market valuation in 2025, we ceased to be a “smaller reporting company” for SEC reporting purposes as of October 1, 2025. If in the future we qualify as an “accelerated filer” or “large accelerated filer,” in addition to management providing an assessment of our control over financial reporting, our independent auditors will be required to audit that assessment, which will add a layer of cost and complexity to our accounting processes.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in Item 4. Controls and Procedures in our third quarter Form 10-Q for the fiscal year ended September 30, 2025, we identified a material weakness in our internal control over financial reporting related to ineffective general information technology controls applicable to certain cloud-based information technology systems that were relevant to our financial reporting processes and system of internal control over financial reporting. As a result, our business process automated and manual controls that were dependent on the affected general information technology controls were also ineffective because they could have been adversely impacted. During the fourth quarter of 2025, we implemented our remediation plan, including (i) created robust management review controls to assess the completeness, accuracy and reasonableness of key information used in financial reporting; and (ii) formalized the preparation and review of information used in financial reporting to ensure the completeness and accuracy of reports at fiscal year-end. We completed the necessary testing and we believe that the material weakness outlined above has been remediated as of September 30, 2025.</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CEO and CFO, our management conducted an evaluation of the effectiveness of our internal control over financial reporting. Based on that evaluation, management concluded that our internal control over financial reporting was effective as of September 30, 2025. Additionally, we believe that we have sufficient in-house accounting personnel to maintain appropriate segregation of duties, and we have implemented a number of new internal control procedures that we believe are adequate as of the date of this Report. However, our assessment of the effectiveness of these controls is based on management’s judgment, and there can be no assurance that these measures will operate as intended or will be sufficient to prevent or detect material misstatements, errors, or control deficiencies in the future. Proper systems of internal control over financial accounting and disclosure controls and procedures are critical to the operation of a public company. We may be unable to effectively maintain such systems in future, especially in light of the inherent pressures associated with operating as a publicly reporting company and the growth of our company. If we are unable to establish and improve our systems over time, this could leave us without the ability to reliably assimilate and compile financial information about our company and significantly impair our ability to prevent error and detect fraud, all of which would have a negative impact on our company from many perspectives.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we may identify other weaknesses and deficiencies in our internal control over financial reporting in the future.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we do not expect that disclosure control or internal control over financial reporting, even if further established and improved as needed, will prevent all errors and all frauds.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the control system, no evaluation of controls can provide absolute assurance that all control issues and instances of fraud, if any, have been detected. Failure of our control system to prevent error or fraud could materially adversely impact us.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the scope and nature of our operations, and we expect this growth to continue. In particular, as our business has expanded, we have hired more employees and engaged in multiple strategic efforts to add technologies or expertise to our company. To achieve our goal of becoming a vertically integrated advanced nuclear energy company, we will need to expand our operations across not only our microreactor business, but in our additional business lines such as fuel processing, fuel transportation and nuclear consulting. Our ability to manage our these operations and future growth will require us to continue to improve our operational, financial and management controls, compliance programs and reporting system.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we expect to continue to conduct our business internationally and anticipate increased business operations in the United States, Asia, and Europe. Asia and Europe are obvious destinations to launch manufacturing operations given the high demand for clean technologies, developed technical workforce, and strong manufacturing bases with nuclear experience. We will also be targeting developing countries that could benefit from the introduction of mobile, remote, power sources able to unlock a lot of economic resources. These diversified, global operations place increased demands on our limited resources and require us to substantially expand the capabilities of our administrative and operational resources and to attract, train, manage and retain qualified management, technical, experts, engineering, sales and other personnel, the failure of which may adversely affect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4" w:right="3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Like other businesses, we face cybersecurity risks. Threat sources continue to seek to exploit potential vulnerabilities. These cyberattacks are becoming increasingly sophisticated and dynamic. We expect these cyberattacks to continue to occur in the future and we are constantly managing efforts to infiltrate and compromise our information technology systems and data. Given the highly regulated and sensitive industry in which we operate, cybersecurity threats pose a particular risk for our company. While we develop and maintain systems seeking to prevent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cybersecurity breach, including physical or electronic break-ins, computer viruses, malware, attacks by hackers, ransomware attacks, phishing attacks, supply chain attacks, breaches due to employee error or misconduct and other similar breaches, of our physical assets or information systems, or those of our vendors, business partners and interconnected entities or regulators could impact our operations or result in the theft or inappropriate release of certain types of information, including critical infrastructure information, sensitive customer, vendor and employee data, trading or other confidential data. The risk of these system-related events and cybersecurity breaches occurring continues to intensify, and while we have not directly experienced a material breach or disruption to our network or information systems or our operations to-date, such cyberattacks continue to increase in sophistication and frequency, and we may be unable to prevent all such cyberattacks in the future.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significant breach were to occur, our reputation could be negatively affected, customer confidence in us or others in the industry could be diminished, or we could be subject to legal claims, loss of revenues, increased costs or operations shutdown. In addition, our network and information systems are vulnerable to damage or interruption from power outages, telecommunications failures, accidents, natural disasters (including extreme weather arising from short-term or any long-term changes in weather patterns), terrorist attacks and similar events. Our system redundancy may be ineffective or inadequate, and our disaster recovery planning may not be sufficient for all eventualities. Moreover, the amount and scope of insurance maintained against losses resulting from any such events or security breaches may not be sufficient to cover losses or otherwise adequately compensate for any disruptions to business that could result. Furthermore, in the future, such insurance may not be available on commercially reasonable terms, or at all.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new or updated security regulations or unforeseen threat sources could require changes in current measures taken by us or our business operations and could adversely affect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significantly increasing costs as a result of, and devote substantial management time to operating as, a public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only became a public company in May 2024, and we have grown significantly since then. As such, we have incurred and will continue to incur significant legal, accounting, and other expenses that we did not incur as a private company. For example, we are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have and will continue to increase our legal and financial compliance costs and will make some activities more time-consuming and costly. In addition, our management and other personnel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Operating as a public company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As a result of the increase in our market capitalization during 2025, we no longer qualify as a “smaller reporting company” for the fiscal year ending in 2026. If our market capitalization remains at or above current levels during 2026, we expect that, for the fiscal year ending in 2027, we may qualify as an “accelerated filer” or a “large accelerated filer.” As a result, we would be subject to more extensive reporting, disclosure and compliance requirements under the federal securities laws, which would significantly increase our regulatory and compliance costs and impose additional administrative burdens on our management and operations. We are still at the relatively early stages of compiling the system and processing documentation needed to comply with such requirements. We may not be able to complete our system creation, evaluation, testing and any required remediation in a timely fashion. In that regard, we currently do not have an internal audit function, and we will need to hire or contract additional accounting and financial staff with appropriate public company experience and technical accounting knowledge.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continue to incur as a result of operating as a public company and complying with the foregoing requirements, or the timing of such costs.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2025, 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our listing; (2) the last day of the first fiscal year in which our annual gross revenues exceed $1.235 billion; (3) the date on which we have, during the previous rolling three-year period, issued more than $1 billion in non-convertible debt securities; or (4) the date on which we are deemed to be a “large accelerated filer” under the rules of the SEC.</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appearing elsewhere in this Report. We base our estimates on short duration historical experience and on various other assumptions that we believe to be reasonable under the circumstances, as provided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Policies and Estimates</w:t>
      </w:r>
      <w:r>
        <w:rPr>
          <w:rFonts w:ascii="Times New Roman" w:cs="Times New Roman" w:eastAsia="Times New Roman" w:hAnsi="Times New Roman"/>
          <w:sz w:val="18"/>
          <w:szCs w:val="18"/>
          <w:color w:val="auto"/>
        </w:rPr>
        <w:t>.” The results of these estimates form the basis for making judgments about the carrying values of assets, liabilities, and equity, and the amount of revenue and expenses. Significant estimates and judgments involve: legal contingencies; valuation of our common stock and equity awards;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and we may not be able to obtain insurance at acceptable rates, or at all.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have director and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 However, the local government may take an opposite position against us and we may need to purchase additional insurance to operate our business. If we fail to obtain the insurance as required by the local government, or if we were to incur substantial losses or liabilities due to fire, explosions, floods, other natural disasters or accidents or business interruption, our business and results of operations could be materially and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vulnerable to damage from catastrophic events, such as natural disasters, power loss, and similar unforeseen events beyond our control. The global pandemics or fear of spread of contagious diseases, such as COVID-19, Ebola virus disease (EVD), Middle East respiratory syndrome (MERS), severe acute respiratory syndrome (SARS), H1N1 flu, H7N9 flu, and avian flu, as well the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or even for a prolonged period of time, which could materially and adversely affect our business, financial condition, and results of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we are adequately protected from the effects of earthquakes, fire, floods, typhoons, earthquakes,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market for our common stock is relatively new, and consistently robust and liquid trading market may not develop or be sustained over the long term.</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only recently conducted our initial public offering in May 2024, and so the trading market for our common stock is relatively new and unestablished. If a consistently robust and liquid trading market for our common stock does not develop, you may not be able to sell your shares quickly or at the market price. Our ability to raise capital to continue to fund operations by selling our securities and our ability to acquire other companies or technologies by using our securities as consideration may also be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may continue to be volatile, and you could lose all or part of your investment.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our initial public offering in May 2024, the market for our common stock has been very volatile, including significant increases and decreases in the price of our stock. The trading price of our common stock is likely to continue to be volatile and could continue to be subject to fluctuations in response to various factors, some of which are beyond our control. These fluctuations could cause you to lose all or part of your investment in our common stock as you might be unable to sell your shares at or above the price you paid in this offering. Factors that could cause fluctuations in the trading price of our common stock include the following:</w:t>
      </w:r>
    </w:p>
    <w:p>
      <w:pPr>
        <w:spacing w:after="0" w:line="18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nuclear energy stocks;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nuclear energy companies generally, or those in our industry in particular;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potential causes of volatility, you are cautioned that specific causes of volatility are never perfectly clear. Moreover, our relatively small public float may amplify the impact the actions taken by a few stockholders have on the price of our common stock, which may cause the price of our common stock to deviate, potentially significantly, from a price that better reflects the underlying performance of our business.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These fluctuations may be even more pronounced in the trading market for our common stock shortly after your investment. Volatility in our common stock could lead to the loss of some or all of your investment.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only a limited number of securities or industry analysts commence coverage of our company, the trading price for our stock could be negatively impacted.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securities or warrants exercisable for our common stock may depress our stock price.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securities convertible into our common stock in the public market, or the perception that these sales could occur, could adversely affect the market price of our common stock and could materially impair our ability to raise capital through equity offerings in the future. In particular, as described in Part II, Item 9B, certain of our officers and directors have implemented pre-arranged “10b5-1” trading plans which will likely lead to sales by such persons over both the near and longer term.</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have issued underwriter’s warrants to purchase shares in connection with our May 2024 initial public offering, and two underwritten follow-on offerings in July and October 2024 (“July and October Offerings”), respectively, to purchase up to an aggregate of 364,139 shares of common stock. In connection with the July and October Offerings and our November 2024 private placement offering, we issued warrants to investors to purchase up to an aggregate of 4,235,148 shares of common stock with a weighted-average exercise price of $22.68 per share. If a large number of shares of our common stock are issued upon exercise of the outstanding warrants in the public market, this could reduce the trading price of our common stock, perhaps significantly, and impede our ability to raise future 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principal stockholders have substantial control over us and could delay or prevent a change of corporate control.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directors, executive officers and holders of more than 5% of our common stock, together with their affiliates, beneficially own, in the aggregate, approximately 25.54% of our outstanding common stock as of December 16, 2025. As a result, these stockholders, acting together, have the ability to control the outcome of matters submitted to our stockholders for approval, including the election of directors and any merger, consolidation or sale of all or substantially all of our assets. In addition, these stockholders, acting together, have the ability to control the management and affairs of our company. Accordingly, this concentration of ownership could harm the market price of our common stock by:</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below for more information regarding the ownership of our outstanding stock by our executive officers, directors and holders of more than 5% of our common stock, together with their affiliates.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equity securities in the future, your ownership in us could be diluted.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our common stock to decline and result in significant dilution for holders of our common stock. For example, from October 1, 2024 through September 30, 2025, we have issued 8,824,183 shares of common stock through equity financings, 1,254,512 shares of our common stock related to warrant exercises and 944,000 shares of our common stock related to stock option exercises. In addition, the vesting of restricted stock units and the exercise of outstanding stock options and warrants may result in further dilution of your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authorized shares of our common stock available for issuance which may limit our ability to issue securities in connection with capital raises, for acquisitions or strategic partnerships or as compensation to our employees and directors in the future, unless we obtain stockholder approval to amend our amended articles of incorporation, referred to herein as our charter. Our inability to issue shares of our common stock could materially adversely affect our business and strategy.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used our shares of common stock to raise capital, consummate acquisitions and compensate our employees and directors. We are currently authorized to issue 300,000,000 shares of common stock. As of December 16, 2025, 50,474,294 shares of common stock were outstanding. Additionally, as of December 16, 2025, there were 2,987,150 shares of common stock issuable upon exercise of outstanding warrants, 3,669,000 shares of common stock issuable upon exercise of outstanding stock options, and 774,514 shares of common stock issuable upon vesting of restricted stock units. We may not be able to continue issuing securities to meet our business objectives in future, unless we increase the number of shares we are authorized to issue. There can be no assurance that we will elect to seek stockholder approval to increase our authorized shares of common stock under our charter or, if we do, that we will be able to secure the necessary stockholder approval to increase our authorized shares of common stock under our charter. Our inability to issue shares of our common stock could materially adversely affect our business and strategy.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domestic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federal, state and local authorities. Outcomes from these audits could have an adverse effect on our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Nevada law could discourage, delay or prevent a change in control of our company and may affect the trading price of our common stock.</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the provisions of Nevada law may have the effect of delaying, deferring or discouraging another person from acquiring control of our company or removing our incumbent officers and directors. These provisions are expected to discourage certain types of coercive takeover practices and inadequate takeover bids. These provisions are also designed to encourage persons seeking to acquire control of us to first negotiate with our board of directors. We believe that the benefits of increased protection against an unfriendly or unsolicited proposal to acquire or restructure us outweigh the disadvantages of discouraging such proposals.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for the foreseeable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 Accordingly, you must rely on the sale of your common stock after price appreciation, which may never occur, as the only way to realize any future gain on your investment.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 state or federal court located in the State of Nevada shall be the sole and exclusive forum for (i) any derivative action or proceeding brought on behalf of our company, (ii) any action asserting a claim for breach of a fiduciary duty owed by any director, officer or other employee of our company to us or our stockholders, (iii) any actions asserting a claim arising pursuant to any provision of the NRS, our Articles of Incorporation or our amended and restated bylaws, in each case as amended, or (iv) any action asserting a claim governed by the internal affairs doctrine, in each such case subject to such court having personal jurisdiction over the indispensable parties named as defendants therein (the “Nevada Forum Provision”). This, however, shall not apply to claims or causes of action brought to enforce a duty or liability created by the Securities Act of 1933, as amended, or the Securities Exchange Act of 1934, as amended, or any other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“Federal Forum Provision”). In addition, our bylaws provide that any person or entity purchasing or otherwise acquiring any interest in shares of our common stock is deemed to have notice of and consented to the Nevada Forum Provision and the Federal Forum Provision.</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27 of the Securities Exchange Act of 1934, as amended, creates exclusive federal jurisdiction over all suits brought to enforce any duty or liability created by the Exchange Act or the rules and regulations thereunder. As a result, the Nevada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that the Nevada Forum Provision and the Federal Forum Provision in our bylaws may impose additional litigation costs on stockholders in pursuing any such claims, particularly if the stockholders do not reside in or near the State of Nevada. Additionally, the Nevada Forum Provision and the Federal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competent courts of the State of Nevada and the United States District Court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and Strategy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evaluates cybersecurity risk from computer viruses and more sophisticated and targeted cyber-related attacks such as ransomware, as well as cybersecurity failures resulting from human error and technological errors. Such risks are reviewed on a periodic basis as deemed appropriate.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overall strategy in combatting known cybersecurity risks includes a variety of individual tactics, including:</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antivirus software, as well as other software to prevent and detect data intrusions.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installation of updates and patches as they are available and maintaining the current versions of major software to reduce the exposure to vulnerabilities.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the use of third-party security experts if and when an incident is detected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having experienced any material cybersecurity incidents. We are not aware of any existent cybersecurity threats that would materially affect, or are reasonably likely to materially affect, our business strategy, results of operations or financial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yet to establish any formal committees related to cybersecurity risks. Management updates our board of directors regarding cybersecurity risks as necessary.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 including our headquarters, is located at 10 Times Square, 30th Floor, New York, NY 10018, covering approximately 7,800 square feet. We lease this office under a long-term lease commencing from April 1, 2024 through July 31, 2031, with the monthly lease rent of $33,605 to be increased by 2.5% on an annual basis.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we purchased a 1.64-acre land package in the historic Heritage Center Industrial Park in Oak Ridge, Tennessee for $1.7 million. The purchase includes a 14,000 sq. ft., 2-story building to house our Nuclear Technology Branch. Situated in a world-class location for innovative nuclear technology research and development, this facility will serve as the central hub for our advanced nuclear technology design and engineering capabilities. The Nuclear Technology Branch is near the Oak Ridge National Laboratory, the Spallation Neutron Source, the National Transportation Research Center, and The University of Tennessee’s Center of Excellence in Engineering.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2025, we entered into a lease for a facility of approximately 6,800 sq. ft. in Westchester County, New York where we have established a purpose-built facility to assemble and demonstrate the operation and viability of several non-nuclear parts and components of our nuclear microreactors in development. We lease this space under a long-term lease commencing from January 1, 2025 to December 31, 2030, with the monthly lease rent of $17,000 to be increased by 2.5% on an annual basis.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2025, we purchased a 2.75-acre land package in Oak Brook, Illinois for $3.5 million. The purchase included a 23,537 sq. ft. building to serve as a regional demonstration and office facility to support the development of our KRONOS MMR™ Microreactor Energy System.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9, 2024, a putative securities class action lawsuit was filed against us and certain of our officers in the United States District Court for the Southern District of New York, captioned Yvette Yang v. Nano Nuclear Energy Inc., et al., No. 1:24-cv-06057 (S.D.N.Y.). On October 28, 2024, the court entered an order appointing Hongyu Xie as lead plaintiff. On January 6, 2025, lead plaintiff filed an amended complaint, naming as defendants the Company, Jay Yu, James Walker, and Jaisun Garcha. The amended complaint asserts claims for alleged violations of Sections 10(b) and 20(a) of the Securities Exchange Act of 1934 on behalf of persons who purchased or otherwise acquired our securities from May 8, 2024 through July 30, 2024. The claims in the amended complaint relate to statements made by us and/or our directors or officers concerning the Company’s business and prospects, including our progress toward development of nuclear microreactors and fuel manufacturing facilities. On February 21, 2025, all defendants filed a motion to dismiss the amended complaint pursuant to Rules 12(b)(6) and 9(b) of the Federal Rules of Civil Procedure, for failure to state a claim upon which relief can be granted. On February 24, 2025, the court sua sponte entered an order permitting lead plaintiff to file a second amended complaint or stand on her amended complaint. On March 14, 2025, lead plaintiff filed a second amended complaint, asserting the same claims asserted in the amended complaint. On April 11, 2025, all defendants filed a motion to dismiss the second amended complaint pursuant to Rules 12(b)(6) and 9(b) of the Federal Rules of Civil Procedure, for failure to state a claim upon which relief can be granted. A hearing on the motion has not been scheduled. We dispute the allegations in the amended complaint and intend to defend the case vigorously. The case is at an early stage and we cannot reasonably estimate the amount of any potential financial loss or cost that could result from the lawsuit.</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on August 23, 2024, a putative shareholder derivative lawsuit was filed purportedly on behalf of our company, as nominal defendant, against certain of our directors and officers in the Eighth Judicial District Court of Clark County, Nevada, captioned William Latza, Derivatively on Behalf of Nano Nuclear, Inc. v. James Walker, et al., No. A-24-900423-C. On December 20, 2024, plaintiff filed an amended complaint, alleging claims for alleged breach of fiduciary duties, corporate waste, market manipulation, and racketeering, among others. The claims asserted in the amended complaint relate to our management, business and prospects, including, among others, our progress toward microreactor development, the qualifications of our management, and our investment in LIS Technologies Inc. On behalf of our company, the plaintiff seeks damages from the director and officer defendants and an order directing our company to take actions to reform and improve corporate governance and internal procedures. On February 4, 2025, our company filed a motion to dismiss the amended complaint pursuant to Rule 23.1 of the Nevada Rules of Civil Procedure for failure to make a demand or alleged demand futility, and our directors and officers filed a motion to dismiss the amended complaint pursuant to Rules 12(b)(5) and 23.1 of the Nevada Rules of Civil Procedure for failure to state a claim on which relief can be granted and plaintiff’s lack of standing. On April 24, 2025, the court heard and granted both the Company’s motion to dismiss and the directors’ and officers’ motion to dismiss without leave to amend. On October 30, 2025, the court entered a formal written order and statement of decision granting the motions to dismiss. On November 21, 2025, plaintiff filed a notice of appeal with the Nevada Supreme Court. No briefing dates for the appeal have been scheduled. The director and officer defendants deny all allegations of liability and intend to continue vigorously defending against all claims.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behalf of our company, the plaintiff seeks damages from the director and officer defendants and an order directing our company to take actions to reform and improve corporate governance and internal procedures. The director and officer defendants deny all allegations of liability and intend to vigorously defend against all claims. Given the preliminary stage of the lawsuit and the inherent uncertainties of litigation, we cannot determine with certainty the outcome of the case at this time.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from time to time, we may be subject to various additional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grow and develop our products, we anticipate that we will expend significant financial and managerial resources in the defense of our products in the future. We also anticipate that we will expend significant financial and managerial resources to defend against claims that our products and services infringe upon the intellectual property rights of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and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trades on the Nasdaq Stock Market under the symbol “NNE.”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16, 2025, we had 27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NRS 78.288, the directors of a corporation may authorize, and the corporation may make, distributions (including cash dividends) to stockholders, but no such distribution may be made if, after giving it effect:</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would not be able to pay its debts as they become due in the usual course of business;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prepared on the basis of accounting practices that are reasonable in the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valuation, including, but not limited to, unrealized appreciation and depreciation;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that is reasonable in the circumstances.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past three years, we issued securities that were not registered under the Securities Act as set forth below. The offers, sales and issuances of the securities described below were exempt from registration either (i) under Section 4(a)(2) of the Securities Act and the rules and regulations promulgated thereunder in that the transactions were between an issuer and sophisticated investors or members of its senior executive management and did not involve any offering within the meaning of Section 4(a)(2), or (ii) under Regulation S promulgated under the Securities Act in that offers, sales and issuances were not made to persons in the United States and no directed selling efforts were made in the United States, or (iii) under Rule 144A under the Securities Act in that the shares were offered and sold by the initial purchasers to qualified institutional buyers, or (iv) under Rule 701 promulgated under the Securities Act in that the transactions were under compensatory benefit plans and contracts relating to compensation.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2022, we issued 10,000,000 shares of common stock to I Financial Ventures Group LLC, of which our President, Secretary, Treasurer, and Chairman of the Board of Directors, Jay Jiang Yu, is the sole shareholder and director, and received proceeds of $50,000.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March 2022 and April 2022, we issued an aggregate of 7,500,000 shares of common stock to certain members of our management team and certain investors, and received an aggregate proceeds of $375,000.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Between February 2022 and September 2022, we issued an aggregate of 675,000 shares of common stock to certain consultants for services received.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April 2022 and February 2023, we issued an aggregate of 4,146,869 shares of common stock to certain investors, and received an aggregate proceeds of $4,146,869.</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April 2023 and September 2023, we issued an aggregate of 2,778,000 shares of common stock to certain investors, and received an aggregate proceeds of $6,945,000.</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January 2024, we issued an aggregate of 822,144 shares of common stock to certain investors, and received an aggregate gross proceeds of $2,466,437, of which $2,106,437 was received in advance as of December 31, 2023, and $360,000 was received in January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2024, we issued an aggregate of 50,000 shares of common stock to Dr. Maidana as consideration for the ALIP Acquisition.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2024, we issued an aggregate of 20,000 shares of common stock to certain consultants for services received.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2024, we issued an aggregate of 250,000 shares of common stock to consultants who exercised their outstanding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2024, we issued an aggregate of 343,000 shares of common stock to consultants who exercised their outstanding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2024, we issued an aggregate of 230,000 shares of common stock to consultants who exercised their outstanding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2024, we issued an aggregate of 15,000 shares of common stock to consultants who exercised their outstanding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2024, we issued an aggregate of 245,000 shares of common stock to consultants who exercised their outstanding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2025, we issued an aggregate of 66,000 shares of common stock to consultants who exercised their outstanding stock options.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24, 2024 , we entered into a Securities Purchase Agreement (the “November 2024 SPA”) with three accredited institutional investors pursuant to which we agreed to offer and sell an aggregate of $60,000,048 of our securities in a private placement (the “November 2024 Private Placement”), consisting of (i) 2,500,002 shares (“2024 Shares”) of our common stock and (ii) warrants to purchase up to 2,500,002 shares of common stock (the “November 2024 Warrants”). The Private Placement closed on November 27, 2024. After deducting the placement agent fees and estimated offering expenses payable by us, we received net proceeds of approximately $55,122,000. We intend to use these net proceeds for general working capital and general corporate purposes, which could include potential acquisitions of complementary businesses or assets. Pursuant to the November 2024 SPA, we issued and sold 2,500,002 2024 Shares and associated Warrants to purchase up to an aggregate of 2,500,002 shares of common stock at a combined purchase price of $24.00 per share. The associated Warrants have a term of five (5) year with an exercise price of $26.00 per share and will be exercisable immediately upon issuance of the Warrants. The November 2024 SPA includes standard representations, warranties and covenants of the Company and Investors, including certain restrictions on future issuances of our capital stock for 30 days following effectiveness of the registration statement discussed below. On November 24, 2024, in connection with the Private Placement, we entered into a registration rights agreement with the investors pursuant to which we agreed to file a registration statement with the Securities and Exchange Commission (the “SEC”) covering the resale of the Shares and the shares of Common Stock issuable upon exercise of the Warrants by no later than January 15, 2025 (the date of filing, the “2024 Filing Date”), with such registration statement to be effective within 30 days of the 2024 Filing Date (if such registration statement is not subject to review by the SEC), or within 60 days after the 2024 Filing Date (if such registration statement is subject to limited or full review by the SEC). We filed the registration statement (Registration No. 333-284282) with the SEC on January 14, 2025, which was declared effective on January 24, 2025. The investors were also entitled (subject to certain exceptions) to customary piggyback registration rights during the period in which the registration statement is effective. The Benchmark Company, LLC acted as placement agent for the Private Placement and received a cash fee equal to 6.0% of the gross proceeds received by us in the Private Placement, a non-accountable expense allowance equal to 1% of the gross proceeds received by us from the Private Placement, and reimbursement of up to $175,000 in legal expenses.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26, 2025, we entered into a Securities Purchase Agreement (the “May 2025 SPA”) with each of six institutional investors (the “May 2025 Investors”), pursuant to which we agreed to offer and sell an aggregate of 3,888,889 shares of our common stock, par value $0.0001 per share, in a private placement (the “May 2025 Private Placement”) for the aggregate gross proceeds of approximately $105 million. The May 2025 Private Placement closed on May 28, 2025. After deducting the placement agent fees and estimated offering expenses payable by us, we received net proceeds of approximately $99 million. We intend to use these net proceeds for research and development, marketing, general working capital and general corporate purposes, which could include potential acquisitions of complementary businesses or assets. In the May 2025 Private Placement, we issued and sold an aggregate of 3,888,889 shares of our common stock at a purchase price of $27.00 per share to the May 2025 Investors. The May 2025 SPA includes standard representations, warranties and covenants of the Company and the May 2025 Investors, including a restriction on future issuances of our capital stock or filing a registration statement or any amendment or supplement thereto (subject to certain exceptions) for a period of thirty (30) days following effectiveness of our May 2025 Resale Registration Statement (as defined below) required by the May 2025 RRA (as defined below). On May 26, 2025, in connection with the May 2025 Private Placement, we also entered into a registration rights agreement with each of the May 2025 Investors (the “May 2025 RRA”), pursuant to which we agreed to file a registration statement (the “May 2025 Resale Registration Statement”) with the SEC covering the resale of 3,888,889 shares of our common stock by no later than June 10, 2025 (the date of filing, the “May 2025 Filing Date”), with the May 2025 Resale Registration Statement to be effective within 30 days of the May 2025 Filing Date (if it is not subject to review by the SEC), or within 60 days after the May 2025 Filing Date (if it is subject to full review by the SEC). We filed the May 2025 Resale Registration Statement (Registration No. 333- 287886) with the SEC on June 9, 2025, which was declared effective on June 18, 2025. The May 2025 Investors were also entitled (subject to certain exceptions) to customary piggyback registration rights during the period in which the May 2025 Resale Registration Statement is effective. Titan Partners Group LLC, a division of American Capital Partners, LLC (“Titan”), acted as placement agent for the May 2025 Private Placement under a placement agency agreement with us, pursuant to which Titan received a cash fee equal to 5.0% of the gross proceeds received by us in the May 2025 Private Placement, and reimbursement of $150,000 in legal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25, 2025, we entered into a sales agreement (the “ATM Agreement”) with TD Securities (USA) LLC (“TD Cowen”), UBS Securities LLC and Piper Sandler &amp; Co. (each a “Sales Agent” and together, the “Sales Agents”), relating to the sale of up to $400 million shares of our common stock, par value $0.0001 per share from time to time through or to the Sales Agents acting as agents or principals in an at-the-market offering (“ATM”). Pursuant to the ATM Agreement, the compensation to the Sales Agents for sales of common stock sold will be an amount up to 3% of the gross proceeds of any shares of common stock sold under the ATM Agreement. We have also agreed to provide indemnification and contribution to the Sales Agents with respect to certain liabilities, including liabilities under the Securities Act. Except as we and the Sales Agents otherwise agree, we will reimburse the Sales Agents for the fees and disbursements of its counsel, in an amount not to exceed $75,000. We estimate that the total expenses for the offering, excluding any commissions or expense reimbursement payable to the Sales Agents under the terms of the Agreement, will be approximately $500,000. The remaining proceeds, after deducting any other transaction fees, will equal our net proceeds from the sale of our shares in this ATM offering. Under the ATM Agreement, we are required to file a shelf registration statement on Form S-3 (“July 2025 Registration Statement”), including a base prospectus, and a sales agreement prospectus for the purpose of implementing the $400 million ATM offering program under the July 2025 Registration Statement.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2025, we entered into a Securities Purchase Agreement (the “October 2025 SPA”) with six institutional investors as the selling stockholders hereunder (the “October 2025 Investors”), pursuant to which we agreed to offer and sell 8,490,767 shares of our common stock in a private placement (the “October 2025 Private Placement”) for gross proceeds of approximately $400,000,000. Pursuant to the October 2025 SPA, we issued and sold the shares in the October 2025 Private Placement at a purchase price of $47.11 per share. The October 2025 Private Placement closed on October 10, 2025. After deducting the placement agent fees and estimated offering expenses payable by us, we received net proceeds of approximately $378,600,000. Pursuant to the October 2025 SPA, we agreed to include a resale prospectus in the next amendment to the July 2025 Registration Statement on Form S-3 initially filed with the SEC on July 25, 2025 (File No. 333-288982) covering the resale of the 8,490,767 shares of our common stock as soon as practicable but no later than October 25, 2025 (the date of filing, the “October 2025 Filing Date”), and with such July 2025 Registration Statement to be effective within 30 days following the later of (i) the October 2025 Filing Date, and (ii) the second business day after the date on which the United States Federal government shutdown has concluded and the SEC has reopened for operations, if it is not subject to review by the SEC. We will have an additional 30 days to cause such July 2025 Registration Statement to become effective if it is subject to full review by the SEC. We have filed an amendment to the July 2025 Registration Statement to include a resale prospectus on October 22, 2025. As of the date of this Report, the July 2025 Registration Statement is still under review by the SEC.</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the related notes contained elsewhere in this Report and in our other Securities and Exchange Commission filings. The following discussion may contain predictions, estimates, and other forward-looking statements that involve a number of risks and uncertainties, including those discussed under “Risk Factors” and elsewhere in this Report. These risks could cause our actual results to differ materially from any future performance suggested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nuclear energy and technology company, developing smaller, simpler, and safer advanced clean energy solutions, utilizing proprietary reactor designs, intellectual property, and research methods, to contribute towards a sustainable future. Led by a world class scientific and management team, our business plan involves comprehensive engagement across all sectors of the nuclear power and energy industry, spanning the value chain from sourcing raw materials to the development of cutting-edge advanced nuclear microreactors. Our dedication extends further, encompassing strategic initiatives within the commercial nuclear fuel transportation sector, the nuclear energy fuel supply chain, technology development, and nuclear consulting services.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Currently, we are in the pre-revenue stage and are principally focused on four business lines as part of our development strategy, including our micro nuclear reactor business, our nuclear fuel processing business, our nuclear fuel transportation business, and our nuclear consultation services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Overview of Operational Plan and Estimated Timelines for Corporate Achievements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continue to benefit from a global nuclear energy renaissance driven by several long term, sustainable growth trends and significant regulatory tailwinds. These include growth in AI data centers, industrial reshoring, and broader electrification, all driving a significant need for clean and reliable power, energy sustainability and independence, and climate mandates requiring reliable zero-emissions energy. All of this comes in an era of unprecedented bipartisan legislative and policy support in the U.S. for nuclear energy. Equally important, there is broad recognition that advanced reactors like the ones we are developing will be critical to future clean energy infrastructure.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 the next twelve months, we will continue to progress the development of our advanced reactors and our vertically integrated business plan, with estimated expenditures to be approximately $65 million. This allocation comprises approximately $43 million dedicated to the research, development, quality assurance, licensing, and physical test work of our microreactors and other technologies, such as our ALIP technology and fuel transportation system. A further amount of approximately $12 million will be allocated to the development of our planned HALEU fuel processing facilities alongside LIST, the related-party uranium enrichment company with whom we collaborate and in which we have made a strategic investment. The remaining approximately $10 million is earmarked for miscellaneous costs essential to propelling the progress of our microreactors, encompassing the support of current personnel engaged in executive, finance, accounting, and other administrative functions. We may also utilize our cash resources raised in 2024 and 2025 for acquisitions of complementary businesses or assets. As such, and for a variety of other factors, our estimated expenditures may differ substantially from the above estimates and we find it desirable or necessary to utilize cash resources faster than we currently plan.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early April 2025, we signed a strategic collaboration with UIUC to construct the first KRONOS MMR™ research reactor on the university’s campus. In mid-April 2025, we launched a recruitment initiative focused on the Midwest region to support our plans to construct, demonstrate and gain</w:t>
      </w:r>
    </w:p>
    <w:p>
      <w:pPr>
        <w:jc w:val="both"/>
        <w:spacing w:after="0" w:line="238" w:lineRule="auto"/>
        <w:rPr>
          <w:sz w:val="20"/>
          <w:szCs w:val="20"/>
          <w:color w:val="auto"/>
        </w:rPr>
      </w:pPr>
      <w:r>
        <w:rPr>
          <w:rFonts w:ascii="Times New Roman" w:cs="Times New Roman" w:eastAsia="Times New Roman" w:hAnsi="Times New Roman"/>
          <w:sz w:val="18"/>
          <w:szCs w:val="18"/>
          <w:color w:val="auto"/>
        </w:rPr>
        <w:t>regulatory approval for full-scale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both the United States and Canada. In late April 2025, the NRC issued its final Safety Evaluation (SE) approving the Fuel Qualification Methodology Topical Report (FQM TR) for the advanced fuel design to be used in our KRONOS MMR™. In July 2025, we announced that we will provide critical engineering and environmental services for our planned construction and deployment activities at UIUC for the KRONOS MMR™. We anticipate submitting our construction permit application to the NRC in early 2026, and receiving the construction permit in 2027. However, there can be no assurance that we will be able to meet this anticipated timeline, as the submission is subject to the completion of ongoing technical, regulatory, and operational preparations, which may be affected by factors beyond our control. Notwithstanding the foregoing, this is expected to be the first construction permit for a microreactor issued in the United States. The permit application will not incur any government fees, as the KRONOS MMR™ reactor, due to its location at UIUC, qualifies for a fee exemption under applicable regulations due to its use for research purposes.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already made material progress with the KRONOS MMR™, including affirming the collaboration for this project with UIUC; however, we have not yet determined a definitive timeline for demonstration, licensing and commercial launch of this reactor, but when considering construction timelines, licensing timeframes, sourcing key materials and fuel, we estimate the early 2030s for commercial readiness.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LOKI MMR™ system, we are still in the process of assessing and developing demonstration, licensing and commercial launch timelines for this reactor. We also plan on providing nuclear service support and consultation services for the expanding and resurgent nuclear energy industry in 2026, both domestically and internationally.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our ZEUS reactor, we are examining slight modifications of the design to create an even smaller, more mobile reactor system, allowing for an increased number of applications which do not overlap with our other reactors, KRONOS and LOKI. The solid core concept permits a degree of simplicity, and fewer working parts, than other reactor types – we are working on exploiting these inherent advantages to provide this product in the market.</w:t>
      </w:r>
    </w:p>
    <w:p>
      <w:pPr>
        <w:spacing w:after="0" w:line="18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Given our corporate emphasis on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and the fact that all of our reactor designs, except for the ODIN™ reactor, are within the high-temperature gas-cooled reactor family, we are considering strategic alternatives for ODIN. In September 2025, we signed a letter of intent for the proposed sale of our ODIN™ microreactor design and all associated intellectual property to Cambridge Atom Works, our commercial collaborator for the ODIN™ project. This transaction is intended to monetize our investment in the project to date and enable us to allocate more time and resources to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and our other designs and technologies.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Readers are cautioned that no assurances can be given that we can meet successfully the above-mentioned timelines. We are examining strategic acquisitions to expand our business and consultancy services. We have commenced several material discussions with potential targets for such acquisitions, but as of the date of this Report, we have not entered into any definitive agreements for such acquisitions.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the outlined expenditures and the anticipated timelines for execution of our plans discussed above and throughout this Management’s Discussion and Analysis of Financial Condition and Results of Operations are estimations only. These are inherently subject to change due to certain factors, including adjustments in the microreactor development plan and uncertainties associated with the governmental licensing approval process. Given that these elements may exceed our initial expectations or lie beyond our control, we cannot guarantee the accuracy of the actual expenditures and timelines.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generated any revenues. We have incurred accumulated net losses of $57,500,857 since inception through September 30,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Develop Our Microreactors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and our long-term prospects are significantly influenced by factors and trends related to the development, commercialization, and regulatory advancement of our microreactors. KRONOS™ reactor is our lead reactor program and is being designed as an advanced, high-temperature microreactor intended for deployment in industrial environments, defense applications, and other off-grid settings requiring resilient, emissions-free power. The following factors and trends have impacted, and we expect will continue to impact, our KRONOS development program and our operating results.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Development of the KRONOS™ reactor is affected by the evolving regulatory framework for advanced non-light-water reactors. The U.S. Nuclear Regulatory Commission (“NRC”) continues to refine guidance applicable to microreactor licensing, including siting, emergency planning, fuel qualification, and security requirements. Changes in NRC expectations, the need for additional data or analysis, or delays in regulatory review may impact our development timelines and costs. In addition, university-based demonstration efforts, including our ongoing collaboration with the University of Illinois Urbana–Champaign (“UIUC”), will require coordination with federal and state agencies, which may introduce uncertainties in scheduling and scope.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KRONOS™ reactor development relies on strategic collaborations with academic institutions and research organizations. Our work with UIUC includes analyses of siting suitability, infrastructure requirements, and potential demonstration pathways. Such partnerships provide access to technical expertise and research infrastructure but may be influenced by academic scheduling, funding availability, or institutional priorities. Delays or changes in partner capacity could affect program timelines.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KRONOS™ technology incorporates materials and components that require specialized fabrication processes, including high-temperature alloys, advanced coatings, and precision-engineered reactor structures. Global supply-chain conditions, vendor qualification requirements, and the availability of domestic manufacturing capacity will affect development costs and timelines. Government incentives for advanced reactor supply chains may reduce uncertainties, but broader economic factors—including inflationary pressures, material cost volatility, and logistics constraints—may continue to impact the program.</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LOKI MMR™ reactor originated as a compact, transportable nuclear microreactor design. The reactor is designed for versatility across terrestrial, marine, and space applications. It is engineered to deliver on the order of 1 MWth to around 5 MWth of power, making it suitable for remote deployments, off-grid energy needs, critical infrastructure support, and other distributed energy use-cases where traditional grid power is unavailable or unreliable. Its transportability via road, rail, sea, or air enables rapid deployment and modular scalability, especially when multiple units are networked for larger power requirements. The LOKI MMR™ supports diverse applications ranging from remote industrial operations to space exploration architectures. The design is positioned to support long-duration extra-terrestrial applications, including power for lunar or orbital infrastructure and potential deep-space missions.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portable ZEUS™ reactor is a solid-core “nuclear battery” microreactor, designed to deliver long-duration, reliable, zero-emission power in locations where grid access is unavailable, unreliable, or prohibitively expensive. The ZEUS™ reactor is optimized for remote, austere, and infrastructure-limited environments, including isolated communities, mining operations, military installations, critical infrastructure sites, and international deployments where diesel generation is currently dominant. The ZEUS™ technology includes a sealed, factory-fabricated, transportable reactor system. The reactor employs a solid fuel core and emphasizes passive safety, inherent stability, and minimal operator intervention. The system is designed to function as a “set-and-forget” power source, with all major safety, control, and thermal management features integrated into a compact, hardened structure capable of withstanding extreme environmental conditions. The design philosophy prioritizes simplicity, robustness, and high technology readiness levels (TRLs), avoiding unnecessary complexity to accelerate deployment and licensing pathways.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Fuel Cycle Processing Business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based on our market research, that no small modular reactor (SMR) microreactor company is currently developing a full fuel supply chain to produce fuel for their reactors. Our strategy to create the fuel for our own reactors and also to position our company to supply fuel to the wider nuclear industry and other reactor manufacturers, addressing anticipated significant shortfalls in fuel supply. Through our investment and collaboration with LIST, which we believe is the only U.S.-origin and patented laser uranium enrichment company, our goal is to progress towards being what we believe will be the only vertically integrated microreactor business in the country. This would give our business an enormous competitive advantage for both our own reactor development and establishing multiple sources of future revenue to de-risk our company. Currently, we believe, based on our market research, that no SMR or microreactor has any sales revenue, inhibiting the ability for any reactor company to progress, we are building a different and more robust business model.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Development of Fuel Transportation Business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have developed our business, we believe capability deficiencies in the U.S. nuclear industry that would affect the future operation of all SMR and microreactor companies became apparent, notably, there is currently no established method for transporting commercial quantities of HALEU across North America. Our proactive approach to mitigate future impediments to our operations culminated in locating research and technology developed by INL, PNNL and ORNL, that had not been advanced because of budget constraints. We received an exclusive license for a high capacity HALEU fuel transportation basket design in April 2024, which will form the basis of a complete transportation package able to move the most commonly utilized fuel types. The license grants us, as the licensee, exclusive rights for the use and development of certain transportation technology. If developed and commercialized, we believe this product would be one of the few of its kind in North America and would serve as the basis for a domestic HALEU transportation company capable of providing commercial quantities of HALEU fuel. We will work with engineering contractors to obtain an NRC Certificate of Compliance under 10 CFR 71 for our transportation packages.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plan to establish a transportation business focused on the movement of both LEU and HALEU. Currently we are developing a regulatorily licensed, high-capacity HALEU transportation system, capable of moving commercial quantities of HALEU fuel around North America and beyond.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seeking to form the first transportation company able to supply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In 2026, our fuel transportation business will build on the work already completed by INL and ORNL to create a high-capacity HALEU transportation package. In September 2024, we signed an agreement with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Services and Consulting Business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identified an opportunity for more immediate revenue for our company by acquiring more expertise to advance our businesses and deploying those personnel as part of a consulting and services business. We have already identified several nuclear services and consultancy providers, which have been assessed as potentially suitable for acquisition by our company. We have concentrated on identifying small teams with expert personnel, with good portfolios of work and existing contracts, and good expansion potential, which would provide us with immediate revenue post-acquisition. We believe we are in a competitively advantageous position to expand these acquired businesses with the highly qualified teams it has built over the previous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Obtaining Regulatory Licensing</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regulatory licensing process for our microreactor prototypes is expected to be completed in the early 2030s, with manufacturing facilities being constructed during the licensing phase so we are ready to deploy microreactors (most notably our KRONOS MMR™) across the country upon licensing approval. Our KRONOS MMR™ reactor system has already undergone important pre-licensing activities, including the submission of a Regulatory Engagement Plan, several White Papers and Topical Reports, and NRC approval for Fuel Qualification Methodology for the advanced fuel design to be used in our KRONOS micro modular reactor energy system. Our ability to successfully license and certify our microreactors will subsequently be dependent on working through the licensing process with the NRC (and, as applicable, Canadian and other regulators) and satisfying their examinations that the reactor is safe to deploy to customers, provided the agreed protocols are adhered to. Our ability to successfully design and construct our own commercial nuclear fuel facilities will be dependent on obtaining the necessary regulatory approvals from the NRC and other applicable authorities to permit the commercial deployment of microreactors. The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significant communication and interaction between the NRC and our company. NRC safety oversight includes three important components: NRC inspection, the routine assessment of each licensee’s performance, and enforcement in the case that the regulatory requirements are not met. We will also develop an environment report to support any fuel cycle facility application and will work with the NRC through the process established under the National Environmental Policy Act of 1970, which will begin when a federal agency develops a proposal to take a major federal action.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Technology Acquisitions and Collaborations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2024 and 2025, we made announcements regarding our acquisition and development of complementary nuclear pump technology (the ALIP technology) as well as non-binding memoranda of understanding with third party collaborators to explore (i) the use of our microreactors in remote artificial intelligence data centers, the use of artificial intelligence in modernizing the nuclear regulatory and licensing process and (iii) development of nuclear fuel and microreactor capabilities in several non-U.S. jurisdictions in both Africa and South America. We expect that a material aspect of our business will involve continuing to develop, identify or seek to collaborate on, or acquire novel and beneficial technology for our company, and to support advanced nuclear technology both in the U.S. and around the world. Our inability to growth our company through such acquisitions or collaborations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September 30, 2025, and the Year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revenue from our inception through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$11,720,948, or 315%, to $15,446,513 for the year ended September 30, 2025, compared to $3,725,565 for the comparative period ended September 30, 2024, primarily due to research and development related equity-based compensation as well as a significant increase in expenses from research and development of our microreactors during the year ended September 30, 2025. Research and development expenses primarily reflect the internal and external personnel costs corresponding to the design and analysis of our microreactors. During the years ended September 30, 2025 and 2024, $5,597,010 and nil, respectively, of our research and development expenses corresponded to equity-based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costs for personnel in executive, management, regulatory, finance, accounting, and other administrative functions. General and administrative expenses also include professional fees paid for legal, auditing and accounting services, consulting services, regulatory and compliance costs, lease and office costs, advertising costs, and insurance costs.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$22,711,527, or 332%, to $29,562,520 for the year ended September 30, 2025, compared to $6,850,993 for the comparative period ended September 30, 2024, primarily due to equity-based compensation, professional fees for legal and audit costs, and additional office and staff costs to support our research and development activities during the year ended September 30, 2025 compared to the year ended September 30, 2024. During the year ended September 30, 2025, general and administrative expenses primarily consisted of $19 million in personnel costs, including $13.2 million in equity-based compensation and $4.3 million in professional fees. During the year ended September 30, 2024, general and administrative expenses primarily consisted of $2.7 million in personnel costs, including $0.3 million in equity-based compensation and $0.9 million in professional fees. During the years ended September 30, 2025 and 2024, $13,227,205 and $320,257, respectively, of our general and administrative expenses corresponded to equity-based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Revaluation of contingent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corresponds to equity-based contingent consideration corresponding to the ALIP technology we acquired which is revalued at the end of each financial quarter based on the closing stock price of our common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9" w:name="page70"/>
    <w:bookmarkEnd w:id="6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revaluation of contingent consideration was $1,207,500 for the year ended September 30, 2025, compared to ($66,000) for the comparative period ended September 30, 2024, as a result of our acquisition of the ALIP technology on June 21,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2025, we earned interest income of $5,565,457 on our cash and cash equivalents held at a financial institution, earned $250,000 from consulting services, earned $84,000 from a lease agreement, and earned $250,000 as a non-refundable down payment for the proposed sale of our ODIN™ low-pressure coolant microreactor design and all associated intellectual property. During the year ended September 30, 2024, we earned interest income of $352,002 on our cash and cash equivalents held at a financial institution, and earned $7,000 from a lease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fund our current operating, research and development and business development plans through at least the next twelve months from the date of this Report. Although we have negative operating cash outflows of $19,621,963 and $8,464,146 for the years ended September 30, 2025 and 2024, we had approximately $203 million in cash and cash equivalents as of September 30, 2025 (compared to approximately $29 million as of September 30, 2024) and working capital of approximately $201 million as of September 30, 2025 (compared to approximately $28 million as of September 30, 2024). In addition, we received net proceeds of approximately $378.6 million from our October 2025 private placement.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However, the future development of our business towards ultimate commercialization of our products will require significant additional amounts of capital resources. Since we do not anticipate generating meaningful revenues for several years, we intend to finance our future cash requirements for capital expenditures, research and development and business development activities, any acquisitions we may undertake and general working capital through cash on hand and public or private equity or debt financings, third-party (including government) funding, or any combination of these approaches. If we raise additional funds through further issuances of equity or equity-linked instruments, or if outstanding warrants are exercised for cash, our existing stockholders would suffer dilution, perhaps significantly so.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issuing our consolidated financial statements, we evaluated whether there were any conditions and events that raise substantial doubt about our ability to continue as a going concern over the twelve months after the date the consolidated financial statements included in this Report are issued. We have incurred significant operating losses since our inception, and as of September 30, 2025 and 2024, we had an accumulated deficit of approximately $57.5 million and $17.4 million, respectively, and negative operating cash flow during fiscal 2025 and fiscal 2024. Management expects that operating losses and negative cash flows will increase from the 2025 levels because of additional costs and expenses related to our research and development and business development activities. Our continued solvency is dependent upon our ability to obtain additional working capital to complete development, regulatory licensing and effective commercialization of our products and technology in development.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are able to complete development, regulatory licensing and effective commercialization of our products and technology in development. We will require additional capital to develop our reactors and to fund operations for the foreseeable future. Particularly in light of our significant capital raising activity in 2025, we believe that our existing cash is sufficient to support our business plan in the near-term. However, as our business plans and industry are rapidly evolving, certain costs are not reasonably estimable at this time.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is of the opinion that sufficient working capital is on hand or available to meet our company’s liabilities and commitments as they come due for the next twelve months after the date of this Report so as to conform to the going concern uncertainty period. In order to achieve our company’s long-term strategy, we expect to raise additional capital or secure other sources of financing to support our plans and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 for the Years Ended September 30, 2025 and 2024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1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the periods presented below:</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(19,621,963)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(8,464,146)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(17,524,377)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(3,700,000)</w:t>
            </w: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211,904,135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33,718,608</w:t>
            </w:r>
          </w:p>
        </w:tc>
        <w:tc>
          <w:tcPr>
            <w:tcW w:w="80" w:type="dxa"/>
            <w:vAlign w:val="bottom"/>
            <w:shd w:val="clear" w:color="auto" w:fill="CCEEFF"/>
          </w:tcPr>
          <w:p>
            <w:pPr>
              <w:spacing w:after="0"/>
              <w:rPr>
                <w:sz w:val="19"/>
                <w:szCs w:val="19"/>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174,757,795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21,554,462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by operating activities for the year ended September 30, 2025 was $19,621,963, which consisted of our net loss of $40,067,076, net of non-cash items of $20,682,453, and net of changes in working capital accounts. Net cash used by operating activities for the year ended September 30, 2024 was $8,464,146, which consisted of our net loss of $10,151,556, net of non-cash items of $1,213,682, and net of changes in working capital accounts. Our cash used in operating activities increased by $11,157,817 during the year ended September 30, 2025, due to an increase in net loss and changes in working capital accounts. The significant increase in cash used in operating activities during the year ended September 30, 2025, when compared to the year ended September 30, 2024, was primarily due to increased research and development activities, additional regulatory and staff costs to support our research and development activities, and additional office and professional fees during the year ended September 30, 2025 compared to the year ended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Net cash used by investing activities for the year ended September 30, 2025 was $17,524,377, which consisted of $9,075,045 of cash paid for the acquisition of the USNC Assets that closed on January 10, 2025, $3,500,000 used to purchase a 23,537 sq. ft. building with land in Oak Brook, Illinois to serve as a regional demonstration and office facility to support the development of our KRONOS MMR™ Energy System, leasehold improvements of $3,103,000 at our Westchester, New York facility, and $1,846,332 for other additions to property, plant and equipment. Net cash used by investing activities for the year ended September 30, 2024 was $3,700,000, which consisted of $1,700,000 used to purchase a 14,000 sq. ft., 2-story building with land in Oak Ridge, Tennessee to house our Nuclear Technology Branch, and $2,000,000 as a strategic equity investment into LIS Technologies Inc. (a related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September 30, 2025 was $211,904,135, which consisted of approximately $18.5 million from exercises of warrants, $2.4 million from exercises of stock options, and net proceeds of approximately $191 million from our registered follow-on offering in October 2024, our November 2024 private placement offering, and our May 2025 private placement offering. Net cash provided by financing activities for the year ended September 30, 2024 was $33,718,608, which consisted of $34,953,937 in cash received from the issuance of shares of common stock less $3,554,829 in offering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As of September 30, 2025, we had two long-term operating leases corresponding to (1) our corporate headquarters located at 10 Times Square, 30th Floor, New York, New York and (2) space being used as a technology demonstration facility in Westchester County, New York. As of September 30, 2024, we had one lease commitment corresponding to our corporate headquarters in New York, New York. Our corporate headquarters cover approximately 7,800 square feet. We lease this space for $33,605 per month whereby the monthly lease rent will increase by 2.5% on an annual basis. The lease has a term ending on July 31, 2031. Our demonstration facility covers approximately 6,800 square feet in Westchester County, New York. We lease this space for $17,000 per month whereby the monthly lease rent will increase by 2.5% on an annual basis. The lease has a term ending on December 31, 2030.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September 30, 2025 and 2024, we have not engaged in any off-balance sheet arrangements, as defined in the rules and regulations of the SEC.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September 30, 2025, we have two long-term operating leases. As of September 30, 2024, we had one long-term operating lease.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Long-term leases (leases with initial terms greater than 12 months) are capitalized at the present value of the minimum lease payments not yet paid. We use our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F-21 comprising a portion of this Report, which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conducted an evaluation,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Based upon that evaluation, our CEO and CFO concluded that, as of September 30, 2025, our disclosure controls and procedures were effective to provide reasonable assurance that the information required to be disclosed by our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our senior management and board of directors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Reported Material Weaknesses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Item 4. Controls and Procedures in our third quarter Form 10-Q for the fiscal year ended September 30, 2025, we identified a material weakness in our internal control over financial reporting related to ineffective general information technology controls applicable to certain cloud-based information technology systems that were relevant to our financial reporting processes and system of internal control over financial reporting. As a result, our business process automated and manual controls that were dependent on the affected general information technology controls were also ineffective because they could have been adversely impacted.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fourth fiscal quarter of 2025, we implemented the following remediation plan, including:</w:t>
      </w:r>
    </w:p>
    <w:p>
      <w:pPr>
        <w:spacing w:after="0" w:line="225" w:lineRule="exact"/>
        <w:rPr>
          <w:sz w:val="20"/>
          <w:szCs w:val="20"/>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robust management review controls to assess the completeness, accuracy and reasonableness of key information used in financial reporting; and</w:t>
      </w:r>
    </w:p>
    <w:p>
      <w:pPr>
        <w:spacing w:after="0" w:line="161" w:lineRule="exact"/>
        <w:rPr>
          <w:rFonts w:ascii="Times New Roman" w:cs="Times New Roman" w:eastAsia="Times New Roman" w:hAnsi="Times New Roman"/>
          <w:sz w:val="18"/>
          <w:szCs w:val="18"/>
          <w:color w:val="auto"/>
        </w:rPr>
      </w:pPr>
    </w:p>
    <w:p>
      <w:pPr>
        <w:ind w:left="340" w:right="60" w:hanging="332"/>
        <w:spacing w:after="0" w:line="498"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the preparation and review of information used in financial reporting to ensure the completeness and accuracy of reports at fiscal year-end. We completed the necessary testing and we believe that the material weakness outlined above has been remediated as of September 30,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the Exchange Act. 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CEO and CFO, our management conducted an evaluation of the effectiveness of our internal control over financial reporting. Based on that evaluation, management concluded that our internal control over financial reporting was effective as of September 30,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2" w:name="page73"/>
    <w:bookmarkEnd w:id="7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because we are an “emerging growth company” as defined under the terms of the JOBS Act of 2012, our independent registered public accounting firm is not required to issue an attestation report on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execution of the material weakness remediation activities described above, there have been no changes in internal control over financial reporting (as defined in Rule 13a-15(f) of the Exchange Act) during the year ended September 30, 2025,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Internal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Insider Trading Arrangements and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Adoption or Termination of Insider Trading Arrangements</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2025, the below listed directors or officers of our company informed us of the adoption, modification or termination of a “Rule 10b5-1 trading arrangement” or “non-Rule 10b5-1 trading arrangement,” as those terms are defined in Regulation S-K, Item 408, as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Aggregate Number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Character of Trading</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be Purchased or Sold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1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Pursuant to Trading</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&amp; Title</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120" w:type="dxa"/>
            <w:vAlign w:val="bottom"/>
            <w:tcBorders>
              <w:bottom w:val="single" w:sz="8" w:color="CCEEFF"/>
            </w:tcBorders>
          </w:tcPr>
          <w:p>
            <w:pPr>
              <w:spacing w:after="0"/>
              <w:rPr>
                <w:sz w:val="23"/>
                <w:szCs w:val="23"/>
                <w:color w:val="auto"/>
              </w:rPr>
            </w:pPr>
          </w:p>
        </w:tc>
        <w:tc>
          <w:tcPr>
            <w:tcW w:w="28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Arrangement</w:t>
            </w:r>
            <w:r>
              <w:rPr>
                <w:rFonts w:ascii="Times New Roman" w:cs="Times New Roman" w:eastAsia="Times New Roman" w:hAnsi="Times New Roman"/>
                <w:sz w:val="29"/>
                <w:szCs w:val="29"/>
                <w:b w:val="1"/>
                <w:bCs w:val="1"/>
                <w:color w:val="auto"/>
                <w:w w:val="96"/>
                <w:vertAlign w:val="superscript"/>
              </w:rPr>
              <w:t>(1)</w:t>
            </w:r>
          </w:p>
        </w:tc>
        <w:tc>
          <w:tcPr>
            <w:tcW w:w="12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0" w:type="dxa"/>
            <w:vAlign w:val="bottom"/>
          </w:tcPr>
          <w:p>
            <w:pPr>
              <w:spacing w:after="0"/>
              <w:rPr>
                <w:sz w:val="1"/>
                <w:szCs w:val="1"/>
                <w:color w:val="auto"/>
              </w:rPr>
            </w:pPr>
          </w:p>
        </w:tc>
      </w:tr>
      <w:tr>
        <w:trPr>
          <w:trHeight w:val="250"/>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Jay Jiang Yu</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rPr>
              <w:t xml:space="preserve">Rule 10b5-1 Trading Arrangement </w:t>
            </w:r>
            <w:r>
              <w:rPr>
                <w:rFonts w:ascii="Times New Roman" w:cs="Times New Roman" w:eastAsia="Times New Roman" w:hAnsi="Times New Roman"/>
                <w:sz w:val="28"/>
                <w:szCs w:val="28"/>
                <w:b w:val="1"/>
                <w:bCs w:val="1"/>
                <w:color w:val="auto"/>
                <w:vertAlign w:val="superscript"/>
              </w:rPr>
              <w:t>(3)</w:t>
            </w: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Up to 2,996,400 to be 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James Walker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8"/>
              </w:rPr>
              <w:t xml:space="preserve">Rule 10b5-1 Trading Arrangement </w:t>
            </w:r>
            <w:r>
              <w:rPr>
                <w:rFonts w:ascii="Times New Roman" w:cs="Times New Roman" w:eastAsia="Times New Roman" w:hAnsi="Times New Roman"/>
                <w:sz w:val="29"/>
                <w:szCs w:val="29"/>
                <w:b w:val="1"/>
                <w:bCs w:val="1"/>
                <w:color w:val="auto"/>
                <w:w w:val="98"/>
                <w:vertAlign w:val="superscript"/>
              </w:rPr>
              <w:t>(3)</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Up to 408,688 to be 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 xml:space="preserve">Rule 10b5-1 Trading Arrangement </w:t>
            </w:r>
            <w:r>
              <w:rPr>
                <w:rFonts w:ascii="Times New Roman" w:cs="Times New Roman" w:eastAsia="Times New Roman" w:hAnsi="Times New Roman"/>
                <w:sz w:val="29"/>
                <w:szCs w:val="29"/>
                <w:b w:val="1"/>
                <w:bCs w:val="1"/>
                <w:color w:val="auto"/>
                <w:w w:val="98"/>
                <w:vertAlign w:val="superscript"/>
              </w:rPr>
              <w:t>(3)</w:t>
            </w:r>
          </w:p>
        </w:tc>
        <w:tc>
          <w:tcPr>
            <w:tcW w:w="21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Up to 112,215 shares to be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Jaisun Garcha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0"/>
                <w:szCs w:val="20"/>
                <w:color w:val="auto"/>
              </w:rPr>
            </w:pPr>
          </w:p>
        </w:tc>
        <w:tc>
          <w:tcPr>
            <w:tcW w:w="2920" w:type="dxa"/>
            <w:vAlign w:val="bottom"/>
            <w:gridSpan w:val="2"/>
            <w:vMerge w:val="continue"/>
            <w:shd w:val="clear" w:color="auto" w:fill="CCEEFF"/>
          </w:tcPr>
          <w:p>
            <w:pPr>
              <w:spacing w:after="0"/>
              <w:rPr>
                <w:sz w:val="20"/>
                <w:szCs w:val="20"/>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Dr. Tsun Yee Law</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8"/>
              </w:rPr>
              <w:t xml:space="preserve">Rule 10b5-1 Trading Arrangement </w:t>
            </w:r>
            <w:r>
              <w:rPr>
                <w:rFonts w:ascii="Times New Roman" w:cs="Times New Roman" w:eastAsia="Times New Roman" w:hAnsi="Times New Roman"/>
                <w:sz w:val="29"/>
                <w:szCs w:val="29"/>
                <w:b w:val="1"/>
                <w:bCs w:val="1"/>
                <w:color w:val="auto"/>
                <w:w w:val="98"/>
                <w:vertAlign w:val="superscript"/>
              </w:rPr>
              <w:t>(3)</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Up to 131,143 to be 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10/31/2026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Diane Hare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8"/>
              </w:rPr>
              <w:t xml:space="preserve">Rule 10b5-1 Trading Arrangement </w:t>
            </w:r>
            <w:r>
              <w:rPr>
                <w:rFonts w:ascii="Times New Roman" w:cs="Times New Roman" w:eastAsia="Times New Roman" w:hAnsi="Times New Roman"/>
                <w:sz w:val="29"/>
                <w:szCs w:val="29"/>
                <w:b w:val="1"/>
                <w:bCs w:val="1"/>
                <w:color w:val="auto"/>
                <w:w w:val="98"/>
                <w:vertAlign w:val="superscript"/>
              </w:rPr>
              <w:t>(3)</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Up to 41,143 to be 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Dr. Kenny Yu</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9/23/2025</w:t>
            </w:r>
          </w:p>
        </w:tc>
        <w:tc>
          <w:tcPr>
            <w:tcW w:w="1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8"/>
              </w:rPr>
              <w:t xml:space="preserve">Rule 10b5-1 Trading Arrangement </w:t>
            </w:r>
            <w:r>
              <w:rPr>
                <w:rFonts w:ascii="Times New Roman" w:cs="Times New Roman" w:eastAsia="Times New Roman" w:hAnsi="Times New Roman"/>
                <w:sz w:val="29"/>
                <w:szCs w:val="29"/>
                <w:b w:val="1"/>
                <w:bCs w:val="1"/>
                <w:color w:val="auto"/>
                <w:w w:val="98"/>
                <w:vertAlign w:val="superscript"/>
              </w:rPr>
              <w:t>(3)</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Up to 55,000 to be sold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jc w:val="both"/>
        <w:ind w:left="660" w:hanging="65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permitted or permits transactions through and including the earlier to occur of (a) the completion of all purchases or sales or (b) the date listed in the table. Each trading arrangement marked as a “Rule 10b5-1 Trading Arrangement” only permits transactions upon expiration of the applicable mandatory cooling-off period under the Rule. Except as indicated by footnote, each arrangement also provides, among other things, for termination upon the occurrence of death, dissolution, bankruptcy, insolvency, or failure to comply in material respect with any applicable laws and/or any obligations of such arrangement.</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with the then-applicable requirements of Rule 10b5-1(c) when adopted in September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Insider Trading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2024, our board of directors adopted an Amended and Restated Insider Trading Policy, which updated the policy adopted in April 2024. The policy was adopted in order that we can take an active role in the prevention of insider trading violations by our officers, directors, employees, consultants, attorneys, advisors and other related individuals. The Amended and Restated Insider Trading Policy is filed as an exhibit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Listed below are the names of the directors and executive officers of the Company, their ages as of the date of this Report, their positions held and the year they commenced service with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Walker</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President, Secretary, Treasurer,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Florent Heidet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Head of Reactor Development</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Kenny Yu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Seth Berl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Biographies of Executive Officers and Directors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Walker </w:t>
      </w:r>
      <w:r>
        <w:rPr>
          <w:rFonts w:ascii="Times New Roman" w:cs="Times New Roman" w:eastAsia="Times New Roman" w:hAnsi="Times New Roman"/>
          <w:sz w:val="18"/>
          <w:szCs w:val="18"/>
          <w:color w:val="auto"/>
        </w:rPr>
        <w:t>has been our Chief Executive Officer and director since 2022. Mr. Walker has over seventeen years of engineering project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across various industries, such as construction, mechanical engineering, and nuclear engineering. Since 2020, Mr. Walker has served as the senior executive manager at Ares, where he is responsible for the construction of plants, purchases of land, operations, marketing, financing, safety regulation compliance, and shareholder relations. He is also concurrently serving on the board of directors of several small-cap publicly traded companies in Canada, including Bayhorse Silver Inc. (Ticker: BHS, Canada: TSX Venture) and Xander Resources, Inc. (Ticker: XND, Canada: TSX Venture), and serves as a consultant to LIST. From 2016 to 2020, Mr. Walker served as the head of company strategy of Lithium Energy Products (or Lithium), a company primarily engaged in the exploration of lithium prospects, where he oversaw the company’s projects, resource allocation, grant submissions, and collaborative ventures. Prior to joining Lithium, from 2013 to 2016, Mr. Walker was an engineering project manager for the United Kingdom’s Ministry of Defence (or the Ministry of Defence). While there, he was responsible for infrastructure projects and worked in each stage of the nuclear product life cycle, from concept to decommissioning. At the Ministry of Defence, Mr. Walker was primarily engaged in design, modelling, rigs, testing, and problem shooting. He also managed multidisciplinary teams involving engineers, managers, contractors and finance and commercial personnel, and served as the project lead and manager for the building of a nuclear material reclamation plant, and as the engineering manager for constructing factories and facilities designed to manufacture reactor cores. Between 2012 and 2013, Mr. Walker was seconded and worked as a nuclear physicist at Rolls-Royce, leading a project to model various configurations of Rolls-Royce’s Zero-Power reactor using probabilistic physics software to digitally replicate real-world behavior and determine program accuracy margins. Prior to this role, Mr. Walker served as a mechanical engineer and a nuclear engineer at the Ministry of Defence.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Walker holds a Bachelor of Engineering degree in Mechanical Engineering from the University of Nottingham, a Master of Science degree in Mining Engineering from the University of Exeter, and a Master of Science degree in Nuclear Engineering from Cranfield University. He is also a Chartered Engineer (CEng, issued 2014) with the IMechE, a Professional Engineer (PEng, issued 2023) with the Canadian Council of Professional Engineers, qualified Project Manager with APM in 2015, and a Chartered Physicist with the Institute of Physics in 2023. We believe that Mr. Walker is well qualified to serve as a director of our company because of his extensive experience within the nuclear industry and with public markets and the operation of public and private companies.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 Jiang Yu </w:t>
      </w:r>
      <w:r>
        <w:rPr>
          <w:rFonts w:ascii="Times New Roman" w:cs="Times New Roman" w:eastAsia="Times New Roman" w:hAnsi="Times New Roman"/>
          <w:sz w:val="18"/>
          <w:szCs w:val="18"/>
          <w:color w:val="auto"/>
        </w:rPr>
        <w:t>is our founder, and has been our President, Secretary and Treasurer, and Chairman of the Board since 2022. Since 2022, Mr. Yu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president and chairman of the board of LIST. Since 2022, Mr. Yu has been the chairman of the board of directors of St. James Gold Corp. (or St. James Gold), a Canadian-based publicly traded company (Ticker: LORD, Canada: TSX Venture) engaged in the acquisition, exploration, and development of mineral properties. Since 2008, Mr. Yu has served as the chief executive officer and chairman of the board of directors of I Financial Ventures Group, a corporate advisory and start-up consulting business that advises private and public companies. Mr. Yu is also the founder and chief executive officer of Lunar NYC Inc., a youth-focused 501(c)(3) non-profit organization. Earlier in his career, Mr. Yu worked as an analyst in the Corporate &amp; Investment Banking Division at Deutsche Bank, on Wall Street in New York City.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Yu holds a bachelor’s degree in psychology from the City College of New York. He has completed core classes from Borough of Manhattan Community College and has taken continuing education classes at Columbia University. We believe Mr. Yu is qualified to serve as a director of our company because of his experience with public companies, capital fundings, structured financing, and other business development services. In 2021, Mr. Yu was honored as one of The Outstanding 50 Asian Americans in Business.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Jaisun Garcha </w:t>
      </w:r>
      <w:r>
        <w:rPr>
          <w:rFonts w:ascii="Times New Roman" w:cs="Times New Roman" w:eastAsia="Times New Roman" w:hAnsi="Times New Roman"/>
          <w:sz w:val="18"/>
          <w:szCs w:val="18"/>
          <w:color w:val="auto"/>
        </w:rPr>
        <w:t>has been our Chief Financial Officer since 2022. Mr. Garcha has extensive experience and knowledge in financial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governance, and risk management for public and private companies. From February 2022 to December 2024, Mr. Garcha served as the part time chief financial officer and a director at LIST. From March 2022 to October 2024, Mr. Garcha served as the chief financial officer of St. James Gold (“St. James”), a Canada-based publicly traded company (Ticker: LORD, Canada: TSX Venture) engaged in mining exploration. From February 2013 to October 2024, Mr. Garcha served as the chief financial officer of Snipp Interactive Inc. (“Snipp Interactive”), a Canada-based publicly traded company (Ticker: SPN, Canada: TSX Venture) engaged in global loyalty and promotion solutions. Prior to this, Mr. Garcha served as the chief financial officer or senior financial consultant of various private and public companies in a wide spectrum of sectors including but not limited to mining, oil and gas exploration, and venture capital. Mr. Garcha began his career as an accountant in 2001. Over the course of his twenty-year career, Mr. Garcha has assisted several companies in going public through initial public offerings and reverse takeovers. Mr. Garcha is a Chartered Professional Accountant (CPA), Certified General Accountant (CGA) and holds a Bachelor of Science degree from the University of British Columbia and a Master of Business Administration from Laurentian University.</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Florent Heidet </w:t>
      </w:r>
      <w:r>
        <w:rPr>
          <w:rFonts w:ascii="Times New Roman" w:cs="Times New Roman" w:eastAsia="Times New Roman" w:hAnsi="Times New Roman"/>
          <w:sz w:val="18"/>
          <w:szCs w:val="18"/>
          <w:color w:val="auto"/>
        </w:rPr>
        <w:t>has been our Chief Technology Officer and Head of Reactor Development since March 6, 2025. Dr. Heidet has over 18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nuclear energy industry. Between May 2024 and February 2025, Dr. Heidet has served as a Senior Energy Consultant at Hatch Ltd., a consulting and engineering firm specializing in the metals, energy, and infrastructure sectors. Dr. Heidet has served as Head of Design and Engineering since February 2024 at Ultra Safe Nuclear Corporation (USNC), a vertical integrator of nuclear technologies and services. From October 2022 to January 2024, Dr. Heidet also consecutively served as Director of Innovation for nuclear systems and Director of Technology and Engineering at USNC. Prior to joining the USNC, Dr. Heidet spent 12 years at Argonne National Laboratory, where he played a central role in most of the laboratory’s nuclear reactor design projects. Dr. Heidet has also managed his own small company, MFT Tech LLC, since 2021. Dr. Heidet holds a Doctorate and Master of Science in Nuclear Engineering from the University of California, Berkeley, a Master of Science in Mechanical Engineering from the Arts et Métiers ParisTech (ENSAM) in Paris, France, and business program certificates from both University of California, Berkeley Haas School of Business and University of Chicago Booth School of Business. He has published numerous peer-reviewed technical papers and authored several chapters of the Encyclopedia of Nuclear Energy.</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Tsun Yee Law </w:t>
      </w:r>
      <w:r>
        <w:rPr>
          <w:rFonts w:ascii="Times New Roman" w:cs="Times New Roman" w:eastAsia="Times New Roman" w:hAnsi="Times New Roman"/>
          <w:sz w:val="18"/>
          <w:szCs w:val="18"/>
          <w:color w:val="auto"/>
        </w:rPr>
        <w:t>has been our director since 2022. Dr. Law is a physician who holds professional memberships in Doctors for Nuclear Energy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American College of Nuclear Medicine. Since 2022, Dr. Law has served as a director at LIST. Since 2014, Dr. Law has practiced orthopedic medicine in South Florida, specializing in hip and knee osteoarthritis. He is actively engaged in clinical research with a special focus on robotic and sensor technologies, medical innovation, and healthcare investments. Dr. Law has served as a physician consultant for Flagler Healthcare Investment Property Group since 2015 and has served as a physician consultant for Financial Ventures Group since 2017. Dr. Law has a Bachelor of Business Administration from Davenport University, a Doctorate of Medicine from American Global University School of Medicine, and a Master of Business Administration from Davenport University. We believe that Dr. Law is qualified to serve as a director of our company because of his education background in nuclear medicine and nuclear energy as well as his business background.</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Diane Hare </w:t>
      </w:r>
      <w:r>
        <w:rPr>
          <w:rFonts w:ascii="Times New Roman" w:cs="Times New Roman" w:eastAsia="Times New Roman" w:hAnsi="Times New Roman"/>
          <w:sz w:val="18"/>
          <w:szCs w:val="18"/>
          <w:color w:val="auto"/>
        </w:rPr>
        <w:t>has been our director since April 28, 2023. Ms. Hare has been the chief executive officer of BizLove LLC (or BizLove), a consultancy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which she founded in 2018, primarily engaged in helping organizations grow by delivering strategic positioning and cross-functional strategies for transformative moments such as mergers and acquisitions, product and service launches, growth strategies, and digital/data priorities. From 2011 to 2018, Ms. Hare worked at Ernst &amp; Young, where she served the fortune 500 and specialized in purpose-driven enterprise transformation. Ms. Hare holds a Bachelor of Business Administration in Finance from Iona University and received her Maser of Business Administration in Marketing and International Business from Long Island University. We believe Ms. Hare is qualified to serve as a director of our company because of her experience in business strategy consultancy.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Kenny Yu </w:t>
      </w:r>
      <w:r>
        <w:rPr>
          <w:rFonts w:ascii="Times New Roman" w:cs="Times New Roman" w:eastAsia="Times New Roman" w:hAnsi="Times New Roman"/>
          <w:sz w:val="18"/>
          <w:szCs w:val="18"/>
          <w:color w:val="auto"/>
        </w:rPr>
        <w:t>has been our director since May 8, 2023. Dr. Yu is a licensed pharmacist in New York and has been the System Senior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Pharmacy Services at NYU Langone Health since 2021. In this role, he provides executive leadership and coordination for all pharmacy services provided within NYU Langone Health to promote the standardization and alignment of practices across all pharmacy sites. Dr. Yu has also served on the Advisory Council at Apexus LLC, a company engaged in increasing access to medications and improving patient care nationwide. Dr. Yu was the inaugural director of 340B pharmacy services, a drug pricing program, in 2016. In this role, he managed both the compliance and optimization of the 340B program, which he and his team built from the ground up. Dr. Yu holds a Master of Business Administration from George Washington University and a Doctorate in Pharmacy from the Ernest Mario School of Pharmacy at Rutgers University. We believe that Dr. Yu is qualified to serve as a director of our company because of his experience in analyzing and interpreting financial information.</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Seth Berl </w:t>
      </w:r>
      <w:r>
        <w:rPr>
          <w:rFonts w:ascii="Times New Roman" w:cs="Times New Roman" w:eastAsia="Times New Roman" w:hAnsi="Times New Roman"/>
          <w:sz w:val="18"/>
          <w:szCs w:val="18"/>
          <w:color w:val="auto"/>
        </w:rPr>
        <w:t>has been our director since June 1, 2025. Dr. Berl is a technology executive with governmental and private experience and expertise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high-performance computing, artificial intelligence and machine learning, data science, cybersecurity, embedded and “internet of things” systems, tactical edge networks, satellite communications, and enterprise-scale storage and networking. Since May 2025, Dr. Berl has served as Global GTM, Government Technologies Chief Technologist at Intel Corporation, where he helps shape technology and go-to-market strategy for worldwide government solutions. From June 2024 to May 2025, Dr. Berl served as Deputy Chief Data Officer at the U.S. Department of Energy (DOE) where he led the enterprise data program harnessing data and artificial intelligence to drive operational results. From 2020 to 2024, Dr. Berl served as Chief Technology Officer at GovSmart, Inc., a private firm where he led technical direction, built strategic partnerships, and helped drive product innovation for federal agencies and commercial clients. Prior to these roles, Dr. Berl worked as a nuclear and atomic physics researcher at the University of Virginia and Old Dominion University, coordinating with National Science Foundation, National Aeronautics and Space Administration (NASA), Department of Energy (DOE), Defense Advanced Research Projects Agency (DARPA), Northrop Grumman, and the U.S. Air Force for product development, including, among others, a quantum physics package for acceleration and rotation sensing, quantum computing memory, and the design and fabrication of microelectronics and semiconductors. Dr. Berl also founded and ran Smartec, LLC, a technology-consulting firm that served Fortune 500 companies. Dr. Berl received a Master and a Doctorate in Atomic Physics from the University of Virginia, and holds dual Bachelor of Science degrees in Electrical Engineering and Physics, from Old Dominion University. We believe that Dr. Berl is qualified to serve as a director of our company because of his industry and government experience.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258"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Our Executive Advisory Board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assembled an Executive Advisory Board comprised of military, scientific and governmental experts. Our Executive Advisory Board provides industry knowledge and important contacts to our management team. The following table sets forth certain information regarding our Executive Advisory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Perry</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75</w:t>
            </w: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Executive Advisory Board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 Wesley K. Clark (Ret.)., KBE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Executive Advisory Board for Military and Defense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 General Terry G. Robling (Ret.)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Executive Advisory Board for Federal and Defense Appropriations</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and Requirements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Admiral Charles J. Leidig, Jr. (Ret.)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its Executive Advisory Board for Naval Nuclear Initiatives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Robert Gallucci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Executive Advisory Board for Nuclear Policy</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 Donovan Jr.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Executive Advisory Board for Market Intelligence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 Andrew M. Cuomo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Advisory Board Member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Lassina Zerbo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Executive Advisory Board for Africa</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Amante-Harstine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Senior Strategic Advisor to the Executive Advisory Board for U.S. Energy Initiatives</w:t>
            </w:r>
          </w:p>
        </w:tc>
      </w:tr>
    </w:tbl>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Perry </w:t>
      </w:r>
      <w:r>
        <w:rPr>
          <w:rFonts w:ascii="Times New Roman" w:cs="Times New Roman" w:eastAsia="Times New Roman" w:hAnsi="Times New Roman"/>
          <w:sz w:val="18"/>
          <w:szCs w:val="18"/>
          <w:color w:val="auto"/>
        </w:rPr>
        <w:t>has been the Chairman of Executive Advisory Board since 2025. Mr. Perry attended Texas A&amp;M University and graduated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bachelor’s degree in animal science in 1972. Between 1972 and 1977, Mr. Perry served in the United States Air Force, flying C-130 tactical airlift aircraft in the U.S., Europe, and the Middle East; by the time of his discharge, he had attained the rank of captain. He served as the 14th Secretary of Energy from 2017 to 2019 in the first Trump administration. As Secretary of Energy, Mr. Perry worked to advance energy policies to promote American energy independence, notably backing nuclear power. Prior to his service as Secretary of Energy, Mr. Perry served as the 47th governor of the State of Texas. His political career began in 1985 as a representative for a rural West Texas district in the state House of Representatives, and beginning in 1990, he served two terms as Texas Commissioner of Agriculture. Mr. Perry twice sought the Republican nomination for president, running in 2012 and again in 2016.</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 Wesley K. Clark (Ret.), KBE </w:t>
      </w:r>
      <w:r>
        <w:rPr>
          <w:rFonts w:ascii="Times New Roman" w:cs="Times New Roman" w:eastAsia="Times New Roman" w:hAnsi="Times New Roman"/>
          <w:sz w:val="18"/>
          <w:szCs w:val="18"/>
          <w:color w:val="auto"/>
        </w:rPr>
        <w:t>has been the Chairman of Executive Advisory Board for Military and Defense since 2023. General Clark graduated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in his class from WestPoint Academy in June 1966 with a bachelor’s degree, and was awarded a Rhodes Scholarship to the University of Oxford, where he obtained a M.A. degree in Economics. His military career involved multiple commands and spanned three decades, propelling him into the international spotlight. From 1994 to 1996, he acted as director of strategic plans and policy for the Joint Chiefs of Staff at the Pentagon. General Clark then took the role of the lead military negotiator for the Bosnian Peace Accords in 1995 before serving as the Supreme Allied Commander Europe, the second-highest military position within NATO, from July 1997 to May 2000. In 2000, Gen. Clark received the Presidential Medal of Freedom from President Bill Clinton for his service to the nation, and in 2003 ran for President of the United States. In 2004, Gen. Clark founded and continues to serve as Chairman and Chief Executive Officer of Wesley K. Clark &amp; Associates, a strategic advisory and consulting firm, and in 2009, he co-founded and became chairman of Enverra, Inc., an investment banking firm. Between 2018 and 2019, Gen. Clark served as a Centennial Fellow at Georgetown University. In 2019, Gen. Clark founded Renew America Together, a non-profit intended to promote and achieve greater common ground in America by reducing partisan division and gridlock. Gen. Clark currently also serves Chairman and Founder of Enverra, Inc., a licensed investment bank; Chairman of Energy Security Partners, LLC, an energy security company; as well as a board member for, among other companies, BNK Petroleum, Leagold Mining, and International Crisis Group. He also serves as the Co-Chair of Growth Energy, Chairman of Clean Terra, Inc., and Chairman of City Year Little Rock, an education advocacy group in that city.</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 General Terry G. Robling (Ret.) </w:t>
      </w:r>
      <w:r>
        <w:rPr>
          <w:rFonts w:ascii="Times New Roman" w:cs="Times New Roman" w:eastAsia="Times New Roman" w:hAnsi="Times New Roman"/>
          <w:sz w:val="18"/>
          <w:szCs w:val="18"/>
          <w:color w:val="auto"/>
        </w:rPr>
        <w:t>has been chairman of our Executive Advisory Board for Federal and Defense Appropriations and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2024. Lt. General Robling’s 38 years of distinguished service in the United States Marine Corps earned him 31 Department of Defense commendations, including the Order of the Rising Sun from the Emperor of Japan and the Legion of Honour (Rank of Knight) from the President of France. A three-star general, Lt. Gen. Robling culminated his military career as the Commanding General of U.S. Marine Corps Forces, Pacific, where he oversaw all Marine Corps operations in the strategically vital Asia-Pacific region. A naval aviator with over 5,200 flight hours and a graduate of the U.S. Navy Fighter Weapons School (“Top Gun”), Lt. Gen. Robling has participated in numerous combat and operational missions. His leadership roles positioned him as one of the most influential figures in the Marine Corps, responsible for managing large-scale military operations and fostering international partnerships critical to U.S. national security. Following his retirement, Lt. Gen. Robling turned to the private sector, founding a firm specializing in consulting services for large aerospace manufacturers, before eventually taking up the positions of Chief Executive Officer and Chairman of the Board of PKL Services Inc., which he held for over five years. Currently, Lt. Gen. Robling is a strategic advisor to numerous companies and sits on the advisory board of multiple non-profit associations. Lt. General Robling received of Bachelor of Science degree from Central Washington University and a Master’s Degree from the National Defense University.</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Vice Admiral Charles J. Leidig, Jr. (Ret.) </w:t>
      </w:r>
      <w:r>
        <w:rPr>
          <w:rFonts w:ascii="Times New Roman" w:cs="Times New Roman" w:eastAsia="Times New Roman" w:hAnsi="Times New Roman"/>
          <w:sz w:val="18"/>
          <w:szCs w:val="18"/>
          <w:color w:val="auto"/>
        </w:rPr>
        <w:t>has been chairman of our Executive Advisory Board for Naval Nuclear Initiatives since July 2025.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Admiral Leidig served as Deputy to the Commander for Military Operations, U.S. Africa Command from August 2010 to June 2013, capping a 39-year Navy career. Prior to this assignment, he was the 80th Commandant of Midshipmen at the U.S. Naval Academy, and earlier commanded USS Cavalla (SSN 684), where his crew earned two Meritorious Unit Commendations and the coveted Battle “E.” Additional leadership posts included Commander, Submarine Development Squadron Five; Commander, Naval Forces and Region Marianas; Commander, Submarine Group Eight; and Deputy Commander, U.S. 6th Fleet. Across these tours he directed submarine rescue programs, Arctic-warfare initiatives, and allied undersea operations, building a reputation for positive, mission-focused leadership. Vice Admiral Leidig’s career also included stints as a material officer for Submarine Squadron 11, senior member of the Nuclear Propulsion Examining Board, assistant deputy director for Regional Operations on the Joint Staff, and executive assistant to the Director of the Joint Staff. He is a 1978 graduate, with distinction, of the U.S. Naval Academy and holds a master’s in National Security and Strategic Studies from the Naval War College. Professional education later included the National Security Management Program at Syracuse University and the Navy Executive Business Course at UNC Chapel Hill.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09" w:gutter="0" w:footer="0" w:header="0"/>
        </w:sectPr>
      </w:pPr>
    </w:p>
    <w:bookmarkStart w:id="76" w:name="page77"/>
    <w:bookmarkEnd w:id="76"/>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Robert Gallucci </w:t>
      </w:r>
      <w:r>
        <w:rPr>
          <w:rFonts w:ascii="Times New Roman" w:cs="Times New Roman" w:eastAsia="Times New Roman" w:hAnsi="Times New Roman"/>
          <w:sz w:val="18"/>
          <w:szCs w:val="18"/>
          <w:color w:val="auto"/>
        </w:rPr>
        <w:t>has been the chairman of our Executive Advisory Board for Nuclear Policy since 2023. Dr. Gallucci previously served as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Ambassador-at-Large and Special Envoy for the U.S. Department of State, focusing on the non-proliferation of ballistic missiles and weapons of mass destruction. He was the chief U.S. negotiator during the North Korean nuclear crisis of 1994, and served as Assistant Secretary of State for Political Military Affairs and as Deputy Executive Chairman of the United Nations Special Commission following the first Gulf War. Upon leaving public service, Dr. Gallucci served as Dean of the School of Foreign Service at Georgetown University for 13 years, and since January 2018, he has been serving as Distinguished Professor in the Practice of Diplomacy at Georgetown University. Dr. Gallucci was named president of the John D. and Catherine T. MacArthur Foundation in 2009. Dr. Gallucci holds a Bachelor of Arts from Stony Brook University, and a Master of Arts and a Doctor of Philosophy from Brandeis University.</w:t>
      </w:r>
    </w:p>
    <w:p>
      <w:pPr>
        <w:spacing w:after="0" w:line="18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M. Donovan Jr. </w:t>
      </w:r>
      <w:r>
        <w:rPr>
          <w:rFonts w:ascii="Times New Roman" w:cs="Times New Roman" w:eastAsia="Times New Roman" w:hAnsi="Times New Roman"/>
          <w:sz w:val="18"/>
          <w:szCs w:val="18"/>
          <w:color w:val="auto"/>
        </w:rPr>
        <w:t>has been chairman of our Executive Advisory Board for Market Intelligence since August 2024. From 2015 to 2019 he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member of the U.S. House of Representatives representing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District of New York. During his time in Congress, Mr. Donovan was a vocal advocate for national security, veterans’ affairs, and disaster recovery, serving on several key committees and subcommittees. As part of the Committee on Homeland Security, he chaired the Subcommittee on Emergency Preparedness, Response, and Communication, and was also an active member of the Subcommittee on Cybersecurity, Infrastructure Protection, and Security Technologies. Additionally, Mr. Donovan contributed to the Committee on Foreign Affairs, where he served on the Subcommittee on Africa, Global Health, Global Human Rights, and International Organizations, as well as the Subcommittee on the Western Hemisphere. Mr. Donovan also previously serviced as the District Attorney for Richmond County, New York (Staten Island) and as an Assistant District Attorney for New York County. Mr. Donovan received a Bachelor of Arts degree from St. John’s University and a Juris Doctor degree from Fordham University.</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 Andrew M. Cuomo </w:t>
      </w:r>
      <w:r>
        <w:rPr>
          <w:rFonts w:ascii="Times New Roman" w:cs="Times New Roman" w:eastAsia="Times New Roman" w:hAnsi="Times New Roman"/>
          <w:sz w:val="18"/>
          <w:szCs w:val="18"/>
          <w:color w:val="auto"/>
        </w:rPr>
        <w:t>has been our Executive Advisory Board Member since March 2024. Gov. Cuomo served as the 56th Governor of New York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2011 to 2021. Before his tenure as governor, he was the Secretary of Housing and Urban Development under President Bill Clinton from 1997 to 2001 and served as New York’s Attorney General from 2007 to 2010. Gov. Cuomo oversaw numerous significant initiatives, including the Clean Energy Standard, during his time in office as well as major infrastructure developments like the Mario M. Cuomo Bridge construction and the LaGuardia Airport redevelopment. He supported social initiatives such as the Marriage Equality Act and managed responses to Hurricane Sandy and the COVID-19 pandemic during his time as governor. Gov. Cuomo received a Bachelor of Arts degree from Fordham University and a Juris Doctor degree from Albany Law School.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Lassina Zerbo </w:t>
      </w:r>
      <w:r>
        <w:rPr>
          <w:rFonts w:ascii="Times New Roman" w:cs="Times New Roman" w:eastAsia="Times New Roman" w:hAnsi="Times New Roman"/>
          <w:sz w:val="18"/>
          <w:szCs w:val="18"/>
          <w:color w:val="auto"/>
        </w:rPr>
        <w:t>has been the chairman of our Executive Advisory Board for Africa since 2022. Dr. Zerbo is a Burkinabé politician and scientist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Prime Minister of Burkina Faso from 2021 to 2022. Since 1994, he has served as a nuclear science diplomat and a geophysicist, focusing on Africa’s responses to global challenges. Dr. Zerbo currently serves as a chairman of the board of directors at the Rwanda Atomic Energy Board, an organization which establishes nuclear facilities based on the international standards, and coordinates the research and implementation of the Centre for Nuclear Science and Technology project. From 2013 to 2021, Dr. Zerbo served as the 3rd Executive Secretary of the Comprehensive Nuclear-Test-Ban Treaty Organization, an interim organization tasked with building up the verification regime of the Comprehensive Nuclear-Test-Ban Treaty in preparation for the treaty’s entry into force. Between 1992 and 1994, Dr. Zerbo was a post-doctorate in Airborne Radiometric and Electromagnetic at Geoterrex, Ottawa, and a post-doctorate in Time Domain Electromagnetic and Complex Resistivity at Zonge Engineering and Research Organization in Tucson, Arizona. Dr. Zerbo received a Ph.D. in Geophysics at Université de Paris XI, in Orsay, France in 1992, a Master of Science in Geophysics at Université de Paris VI in, Paris, Jussieu, France in 1989, and a bachelor’s degree in Fundamental and Applied Geology at Université de Caen in Normandie, France in 1988.</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Michelle Amante-Harstine </w:t>
      </w:r>
      <w:r>
        <w:rPr>
          <w:rFonts w:ascii="Times New Roman" w:cs="Times New Roman" w:eastAsia="Times New Roman" w:hAnsi="Times New Roman"/>
          <w:sz w:val="18"/>
          <w:szCs w:val="18"/>
          <w:color w:val="auto"/>
        </w:rPr>
        <w:t>has been the Senior Strategic Advisor to the Executive Advisory Board for U.S. Energy Initiatives since 2023. Since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has been the Chief Executive Officer of Congressional Energy Engagement, LLC., a company engaged in empowering lasting U.S. bi-partisan energy solutions, and since 2023, she has also been serving on the Tennessee Nuclear Energy Advisory Council. Between 2017 and 2020, Ms. Harstine served on the DOE’s Office of Nuclear Energy, where she was a Senior Advisor for Stakeholder Engagement, where she developed strategic relationships, designed, developed, and led inaugural initiatives on Capitol Hill, such as the Atomic Wings Lunch &amp; Learns and the Up &amp; Atom Morning Briefings, bringing together Members of Congress, Congressional staff, industry, educational institutions, national laboratories, Embassy representatives and the Administration. With over 25 years of experience in both the public and private sectors spearheading government, business, community and organization initiatives, Ms. Harstine focuses on advanced nuclear technologies through strategic communication engagements among bipartisan Members of Congress and C-level industry and organization leaders. She developed the U.S. Congressional Energy Leaders Forum, monthly by-invitation only bipartisan programs for U.S. Members of Congress and C-Level nuclear energy leaders and has brought them under the American Nuclear Society with the Nuclear Policy Leadership Dinner &amp; Discussion. She previously launched the National K-12 education initiative “Navigating Nuclear: Energizing Our World” with DOE, the American Nuclear Society and Discovery Education, to engage the ORNL and University Students for two-day immersive programs.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Role of the Executive Advisory Board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role of our Executive Advisory Board is to assist our management with general business and strategic planning, leveraging the expertise of its members in nuclear industry, military and governmental matters. The function of the Executive Advisory Board includes, without any limitation,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their professional networks and relationships to connect us with key industry stakeholders, potential partners, clients, and other valuable contacts and marketing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our programs, projects and events;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ad hoc support and expertise on specific challenges or opportunities as they arise, serving as a valuable resource for our management team;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non-political advocate and ambassador for our company, including seeking new business opportunities for us and connecting us with individuals relevant to the development and advancement of our projects.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strategic advice and counsel to our management team based on the members’ diverse experiences and expertise, contributing to the formulation and execution of effective business strategies;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industry-specific knowledge and insights to help us navigate market trends and safety standards, anticipate challenges, and identify opportunities for growth and innovation.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Agreements with the Members of the Executive Advisory Board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member of our Executive Advisory Board has entered into a consulting agreement with us under similar terms and conditions, either in their individual capacity or through a limited liability company that they control. Our Executive Advisory Board members are not employees of our company; instead, they serve as independent contractors and can resign or be terminated by us at any time. They may pursue any other activities and engagements during their terms of agreements with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8" w:name="page79"/>
    <w:bookmarkEnd w:id="7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these consulting agreements, each member of our Executive Advisory Board is entitled to certain cash payments and options to purchase shares of our common stock for services rendered. These agreements also contain customary restrictive covenants relating to confidentiality, non-solicitation, non-disparagement, and indemnification. The term of these agreements is between 18 months and 36 months, commencing from their respective effective dates between August 2022 and August 2023, subject to early termination. During the fiscal years ended September 30, 2025 and 2024, our executive advisory board was paid a total of $248,000 and $247,500,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Agreements with the Members of the Executive Advisory Board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stock option agreements with the members of our Executive Advisory Board pursuant to the 2023 Stock Option Plan #2 (as defined below), except for Gov. Andrew M. Cuomo who was granted options that were not governed by either our 2023 Stock Option Plan #1 or our Stock Option Plan #2. Under the stock option agreements, each member was granted an option to acquire certain common stock at certain exercise price.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Their options shall fully vest on the effective date of their option agreements and exercisable at any time until their respective expiration date. The following table provides information regarding each stock options held by the named member of our Executive Advisory Board as of the date of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8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8"/>
        </w:trPr>
        <w:tc>
          <w:tcPr>
            <w:tcW w:w="17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Start date</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unvested (#)</w:t>
            </w: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9"/>
        </w:trPr>
        <w:tc>
          <w:tcPr>
            <w:tcW w:w="1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Perry</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11, 2025</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11, 2025</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11, 2030</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 Wesley K.</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Clark KBE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30, 2023</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August 30, 2023</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90,000</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30, 2026</w:t>
            </w: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 Andrew M.</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Cuomo</w:t>
            </w:r>
          </w:p>
        </w:tc>
        <w:tc>
          <w:tcPr>
            <w:tcW w:w="1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13, 2024</w:t>
            </w:r>
          </w:p>
        </w:tc>
        <w:tc>
          <w:tcPr>
            <w:tcW w:w="1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13, 2024</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2027</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any of the current directors, executive officers or persons nominated or charged to become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consists of six directors, including two executive directors and four independent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bylaws provide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officers are appointed by the board of directors and shall hold office at the discretion of the board of directors until their successors are duly elected and qualified, unless sooner removed. Our board of directors is authorized to appoint officers to the offices set forth in our bylaws.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our company). We have three “independent directors” as defined in the Nasdaq listing standards and applicable SEC rules prior to completion of this offering.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has determined that Dr. Tsun Yee Law, Dr. Kenny Yu, Ms. Diane Hare and Dr. Seth Berl are independent directors under applicable SEC and Nasdaq rules. Our independent directors have regularly scheduled meetings at which only independent directors are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Nominating and Corporate Governance Committee and a Compensation Committee. Our board of directors has adopted a charter for each of these three committees. Copies of each committee’s charter have been posted on the Investor Relations section of our website, which are located at www.nanonuclearenergy.com. Each of the committees of our board of directors shall have the composition and responsibilities described below. Our board of directors may from time to time establish other committees as it deems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Drs. Kenny Yu, Tsun Yee Law and Ms. Diane Hare serve as members of our Audit Committee with Dr. Tsun Yee Law serving as the chairman of the Audit Committee. Each of our Audit Committee members satisfies the “independence” requirements of the Nasdaq listing rules and meets the independence standards under Rule 10A-3 under the Exchange Act. Our board of directors has determined that Ms. Diane Hare possesses accounting or related financial management experience that qualifies her as an “audit committee financial expert” as defined by the rules and regulations of the SEC. Our Audit Committee oversees our accounting and financial reporting processes and the audits of our financial statements. Our Audit Committee performs several functions, including:</w:t>
      </w:r>
    </w:p>
    <w:p>
      <w:pPr>
        <w:spacing w:after="0" w:line="187" w:lineRule="exact"/>
        <w:rPr>
          <w:sz w:val="20"/>
          <w:szCs w:val="20"/>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registered public accounting firm and determining whether to retain our existing independent registered public accounting firm or engage new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registered public accounting firm to perform audit services and any permissible non-audit services;</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including the disclosures contained under the caption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and discussing the statements and reports with our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and management;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and management significant issues that arise regarding accounting principles and financial statement presentation and matters concerning the scope, adequacy and effectiveness of our financial controls;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5540" w:right="40" w:hanging="5208"/>
        <w:spacing w:after="0" w:line="53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including compliance of the audit committee with its charter.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Drs. Kenny Yu, Tsun Yee Law and Ms. Diane Hare serve as members of our Compensation Committee with Dr. Tsun Yee Law serving as the chairman of the Compensation Committee. All of our Compensation Committee members satisfy the “independence” requirements of the Nasdaq listing rules and meet the independence standards under Rule 10A-3 under the Exchange Act. The functions of this committee include, among other things:</w:t>
      </w:r>
    </w:p>
    <w:p>
      <w:pPr>
        <w:spacing w:after="0" w:line="176"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full board of directors regarding) our overall compensation strategy and policies;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the performance goals and objectives relevant to the compensation, and other terms of employment of our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and any other compensatory arrangements for our executive officers;</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approving our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our periodic reports or proxy statements to be filed with the SEC; and</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Drs. Kenny Yu, Tsun Yee Law, Ms. Diane Hare and Dr. Seth Berl serve as members of our Nominating and Corporate Governance Committee with Ms. Diane Hare serving as the chairwoman of the Nominating and Corporate Governance Committee. All of our Nominating and Corporate Governance Committee members satisfy the “independence” requirements of the Nasdaq listing rules and meet the independence standards under Rule 10A-3 under the Exchange Act. The functions of this committee include, among other things:</w:t>
      </w:r>
    </w:p>
    <w:p>
      <w:pPr>
        <w:spacing w:after="0" w:line="18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on our board of directors consistent with criteria approved by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director performance on the board and applicable committees of the board and determining whether continued service on our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nominating and recommending individuals for membership on our board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our board of directors.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takes into account many factors in determining recommendations for persons to serve on the board of directors, including the following:</w:t>
      </w:r>
    </w:p>
    <w:p>
      <w:pPr>
        <w:spacing w:after="0" w:line="162" w:lineRule="exact"/>
        <w:rPr>
          <w:sz w:val="20"/>
          <w:szCs w:val="20"/>
          <w:color w:val="auto"/>
        </w:rPr>
      </w:pPr>
    </w:p>
    <w:p>
      <w:pPr>
        <w:ind w:left="680" w:hanging="33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ethics and values;</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publicly-held company;</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publicly-held company;</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1" w:name="page82"/>
    <w:bookmarkEnd w:id="81"/>
    <w:p>
      <w:pPr>
        <w:ind w:left="680" w:hanging="335"/>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22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 and perspective including, without limitation, with respect to age, gender, race, place of residence and specialized experience;</w:t>
      </w:r>
    </w:p>
    <w:p>
      <w:pPr>
        <w:spacing w:after="0" w:line="161"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and with relevant social policy concerns; and</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Jay Jiang Yu, our President, Secretary, Treasurer, and Chairman of the Board, beneficially owns approximately 21.37% of the voting power of our common stock as of December 16, 2025. Periodically, our board of directors assesses these roles and the board of directors leadership structure to ensure the interests of our company and our stockholders are best served. Our board of directors has determined that its current leadership structure is appropriate. Jay Jiang Yu, our President, Secretary, Treasurer, and Chairman of the Board, and James Walker, our CEO and director, have extensive knowledge of all aspects of our company, our business and risks.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our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communications between management and the board of directors are essential for effective risk management and oversight.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None of our executive officers serves, or in the past has served, as a member of our board of directors compensation committee, or other committee serving an equivalent function. None of the members of our compensation committee is, or has ever been, an officer or employee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Code of Business Conduct and Ethics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2024, our board of directors adopted an amended and restated written code of business conduct and ethics (originally adopted in April 2024 prior to our initial public offering) that applies to our employees, officers and directors. A current copy of the current code is posted on the Corporate Governance section of our website, which will be located at </w:t>
      </w:r>
      <w:r>
        <w:rPr>
          <w:rFonts w:ascii="Times New Roman" w:cs="Times New Roman" w:eastAsia="Times New Roman" w:hAnsi="Times New Roman"/>
          <w:sz w:val="18"/>
          <w:szCs w:val="18"/>
          <w:u w:val="single" w:color="auto"/>
          <w:color w:val="auto"/>
        </w:rPr>
        <w:t>https://ir.nanonuclearenergy.com/corporate-governance/governance-overview</w:t>
      </w:r>
      <w:r>
        <w:rPr>
          <w:rFonts w:ascii="Times New Roman" w:cs="Times New Roman" w:eastAsia="Times New Roman" w:hAnsi="Times New Roman"/>
          <w:sz w:val="18"/>
          <w:szCs w:val="18"/>
          <w:color w:val="auto"/>
        </w:rPr>
        <w:t>. The amendments to the code undertaken in December 2024 were technical, administrative or non-substantive.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ten percent stockholders to file initial reports of ownership and reports of changes in ownership of our common stock with the Commission. Directors, executive officers and ten percent stockholders are also required to furnish us with copies of all Section 16(a) forms that they file. Based solely on our review of such forms furnished to us and written representations from certain reporting persons, we believe that during the year ended September 30, 2025, all reports applicable to our executive officers, directors and greater than 10% beneficial owners were filed in a timely manner in accordance with Section 16(a) of the Exchange Act, except for Ms. Diane Hare whose Form 4 filing dated June 6, 2025 was delayed due to her travel and lack of internet access.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for the years ended September 30, 2025 and 2024. Individuals we refer to as our “named executive officers” include our President, Chie Executive Officer and any other highly compensated executive officers whose salary and bonus for services rendered in all capacities equaled or exceeded $100,000 during the fiscal years ended September 30, 2025 and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or paid to our named executive officers during the fiscal years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2"/>
          </w:tcPr>
          <w:p>
            <w:pPr>
              <w:jc w:val="right"/>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6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680" w:type="dxa"/>
            <w:vAlign w:val="bottom"/>
          </w:tcPr>
          <w:p>
            <w:pPr>
              <w:jc w:val="right"/>
              <w:ind w:right="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(3)</w:t>
            </w:r>
          </w:p>
        </w:tc>
        <w:tc>
          <w:tcPr>
            <w:tcW w:w="260" w:type="dxa"/>
            <w:vAlign w:val="bottom"/>
          </w:tcPr>
          <w:p>
            <w:pPr>
              <w:spacing w:after="0"/>
              <w:rPr>
                <w:sz w:val="23"/>
                <w:szCs w:val="23"/>
                <w:color w:val="auto"/>
              </w:rPr>
            </w:pPr>
          </w:p>
        </w:tc>
        <w:tc>
          <w:tcPr>
            <w:tcW w:w="8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80" w:type="dxa"/>
            <w:vAlign w:val="bottom"/>
          </w:tcPr>
          <w:p>
            <w:pPr>
              <w:spacing w:after="0"/>
              <w:rPr>
                <w:sz w:val="23"/>
                <w:szCs w:val="23"/>
                <w:color w:val="auto"/>
              </w:rPr>
            </w:pPr>
          </w:p>
        </w:tc>
        <w:tc>
          <w:tcPr>
            <w:tcW w:w="8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6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260" w:type="dxa"/>
            <w:vAlign w:val="bottom"/>
          </w:tcPr>
          <w:p>
            <w:pPr>
              <w:spacing w:after="0"/>
              <w:rPr>
                <w:sz w:val="23"/>
                <w:szCs w:val="23"/>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Jay Jiang Yu</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496,667</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6,043,422</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4,018,086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Secretary, Treasurer,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Chairman of the Board of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James Walker</w:t>
            </w:r>
          </w:p>
        </w:tc>
        <w:tc>
          <w:tcPr>
            <w:tcW w:w="6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7"/>
                <w:szCs w:val="17"/>
                <w:color w:val="auto"/>
              </w:rPr>
            </w:pPr>
          </w:p>
        </w:tc>
        <w:tc>
          <w:tcPr>
            <w:tcW w:w="9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300,000</w:t>
            </w:r>
          </w:p>
        </w:tc>
        <w:tc>
          <w:tcPr>
            <w:tcW w:w="11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6,043,422</w:t>
            </w:r>
          </w:p>
        </w:tc>
        <w:tc>
          <w:tcPr>
            <w:tcW w:w="10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2,511,348</w:t>
            </w:r>
          </w:p>
        </w:tc>
        <w:tc>
          <w:tcPr>
            <w:tcW w:w="13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426,668</w:t>
            </w:r>
          </w:p>
        </w:tc>
        <w:tc>
          <w:tcPr>
            <w:tcW w:w="10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9,281,438</w:t>
            </w: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Jaisun Garcha</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3,021,711</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1,507,001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326,333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5,055,045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38"/>
        </w:trPr>
        <w:tc>
          <w:tcPr>
            <w:tcW w:w="2500" w:type="dxa"/>
            <w:vAlign w:val="bottom"/>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Florent Heidet</w:t>
            </w:r>
            <w:r>
              <w:rPr>
                <w:rFonts w:ascii="Times New Roman" w:cs="Times New Roman" w:eastAsia="Times New Roman" w:hAnsi="Times New Roman"/>
                <w:sz w:val="27"/>
                <w:szCs w:val="27"/>
                <w:b w:val="1"/>
                <w:bCs w:val="1"/>
                <w:color w:val="auto"/>
                <w:vertAlign w:val="superscript"/>
              </w:rPr>
              <w:t>(5)</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208,333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125,000</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6,812,116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804,055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7,952,837</w:t>
            </w: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60" w:hanging="328"/>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restricted stock unit (“RSU”) awards granted to our named executive officers during the applicable year calculated in accordance with FASB ASC Topic 718, rather than the amounts paid to or realized by the applicable named executive officer. See Note 4 in our audited consolidated financial statements for the fiscal year ended September 30, 2025 for a discussion of the relevant assumptions used in calculating these amounts. The number of RSUs subject to each award was determined by dividing the dollar-denominated value by our closing price on the grant date.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stock options granted to our named executive officers during the applicable year calculated in accordance with FASB ASC Topic 718, rather than the amounts paid to or realized by the applicable named executive officer. See Note 4 in our audited consolidated financial statements for the fiscal year ended September 30, 2025 for a discussion of the relevant assumptions used in calculating this amount.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listed include discretionary bonuses paid to our named executive officers for their performance.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non-employee executive officers, amounts reflect compensation paid as consulting fees and for employee executive officers, amounts reflect matching contributions made by us under our 401(k)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Heidet commenced employment as our Chief Technology Officer in March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Yu</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2024, we entered into an employment agreement with Mr. Jiang Jay Yu, pursuant to which Mr. Yu will continue to serve as our President, reporting to our board of directors. The Compensation Committee of our board (with the members of such committee also comprising a majority of the entire board) independently reviewed and approved the employment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employment agreement has an effective date of October 1, 2024, and has a three-year term, after which the employment agreement will automatically renew for additional one-year period unless either party provides written notice of its intention not to extend the employment agreement at least 90 days prior to a renewal date. Mr. Yu will provide no less than 40 hours per week to the business and affairs of our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employment agreement entitles Mr. Yu to a base salary of $420,000 , eligibility for an annual bonus, eligibility for equity-based compensation awards and fringe benefits, perquisites, and employee benefits consistent with our practices. The employment agreement also entitles Mr. Yu to be indemnified and advanced legal fees to the maximum extent permitted under our bylaws and other governing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employment agreement, if we terminate Mr. Yu without “Cause” or Mr. Yu terminates employment with the Company for “Good Reason” (each as defined in the employment agreement), subject to the execution and non-revocation of a release of claims, Mr. Yu is entitled to receive the following: (i) 100% of any earned, pro-rated bonus, (ii) continued base salary for one year following termination, (iii) subsidized COBRA coverage for up to 18 months, and (iv) the treatment of Mr. Yu’s outstanding equity awards to be determined in accordance with the applicable equity plan and award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 includes standard restrictive covenants in favor of our company, including confidentiality and one-year post-termination customer and employee non-solicitation and non-competition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Heidet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6, 2025, we entered into an Employment Agreement (the “Heidet Employment Agreement”) with Dr. Heidet, effective on March 6, 2025. Pursuant to the Heidet Employment Agreement, Dr. Heidet serves as our Chief Technology Officer and Chief Technology Officer and Head of Reactor Development, with the initial term of three (3) years, ending on March 6, 2028. Thereafter, the Heidet Employment Agreement will be automatically renewed for successive one (1)-year periods unless either we or Dr. Heidet provides written notice of non-renewal at least 90 days prior to the applicable renewal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 Heidet is entitled to an annual base salary of $300,000 , plus eligibility for an annual bonus and equity-based compensation awards, and entitlement to participate in employee benefits plans and other customary benefits provided by us. Dr. Heidet is also entitled to a one-time sign-up bonus of $25,000, payable within 30 days of March 6, 2025. The Heidet Employment Agreement contains customary restrictive covenants relating to non-solicitation and non-competition for a period of one year after the date of termination of employment, confidentiality covenants restricting disclosures of the intellectual property rights and other confidential information. Additionally, the Heidet Employment Agreement may be terminated through applicable notice procedure by either the Company or Dr. Heidet at any time for any reason.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 with Our Executive Officers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a consulting agreement with each of our executive officers under similar terms except for Jay Jiang Yu, our President, Secretary, Treasurer, and Chairman of the Board, and Dr. Heidet, our Chief Technology Officer and Head of Reactor Development, with each of whom we have an employment agreement as mentioned above. We previously entered into a consulting agreement with I Financial Ventures Group LLC where Jay Jiang Yu is the sole member and manager and provided relevant services to us, which was terminated on October 17, 2024. In general, except for Jay Jiang Yu and Dr. Florent Heidet, our other executive officers are not employees of our company, instead, they serve as independent contractors and can be terminated by either party at any time. They may pursue any other activities and engagements during their terms of agreements with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those consulting agreements, our executive officers are entitled to a retention fee for services so rendered, and at the sole discretion of our company, they are also eligible to receive additional compensation awards and participate in our employee benefit programs. Those agreements also contain customary restrictive covenants relating to confidentiality, non-competition, non-solicitation, and non-disparagement, as well as indemnification.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those consulting agreements is 36 months commencing from their respective effective date of those agreements, subject to early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Compensatory Arrangements of Certain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3, 2025, the Compensation Committee of our Board approved certain amendments to the compensation arrangements for our executive officers, effective as of June 3, 2025. The compensation amendments for our executive officers were made to better align its compensation program with current market practices, based on an executive compensation benchmarking report provided by an independent consulting firm commissioned by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compensation amendments for our executive officers are shown in the table below:</w:t>
            </w: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New Annual Base Salary/</w:t>
            </w:r>
          </w:p>
        </w:tc>
      </w:tr>
      <w:tr>
        <w:trPr>
          <w:trHeight w:val="238"/>
        </w:trPr>
        <w:tc>
          <w:tcPr>
            <w:tcW w:w="900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80" w:type="dxa"/>
            <w:vAlign w:val="bottom"/>
          </w:tcPr>
          <w:p>
            <w:pPr>
              <w:spacing w:after="0"/>
              <w:rPr>
                <w:sz w:val="20"/>
                <w:szCs w:val="20"/>
                <w:color w:val="auto"/>
              </w:rPr>
            </w:pP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9"/>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Walker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Florent Heidet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nonqualified stock option agreements (or the 2023 Stock Option Agreements) pursuant to the 2023 Stock Option Plan #1 (as defined below) and the 2023 Stock Option Plan #2 (as defined below) with our executive officers and directors under similar terms. Under the 2023 Stock Option Agreements, each applicable executive officer and officer was granted an option to acquire certain common stock under those two option plans at certain exercise price.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245" w:gutter="0" w:footer="0" w:header="0"/>
        </w:sectPr>
      </w:pPr>
    </w:p>
    <w:bookmarkStart w:id="84" w:name="page85"/>
    <w:bookmarkEnd w:id="8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Their options shall vest immediately on the date of grant, subject to their continued service with our company or its subsidiaries on each applicable vesting date. The following table provides information regarding each stock options held by the named executive officers as of the date of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20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20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Start date</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9"/>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r>
      <w:tr>
        <w:trPr>
          <w:trHeight w:val="198"/>
        </w:trPr>
        <w:tc>
          <w:tcPr>
            <w:tcW w:w="1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Secretary,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Treasurer, and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7, 2026</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2035</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Walker</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r>
      <w:tr>
        <w:trPr>
          <w:trHeight w:val="198"/>
        </w:trPr>
        <w:tc>
          <w:tcPr>
            <w:tcW w:w="1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 and Director</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7, 2026</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2035</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10, 2023</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r>
      <w:tr>
        <w:trPr>
          <w:trHeight w:val="198"/>
        </w:trPr>
        <w:tc>
          <w:tcPr>
            <w:tcW w:w="1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Financial</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7, 2023</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7, 2026</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13, 2025</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2035</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Florent Heidet</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March 6, 2025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March 6, 2026</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2035</w:t>
            </w:r>
          </w:p>
        </w:tc>
      </w:tr>
      <w:tr>
        <w:trPr>
          <w:trHeight w:val="198"/>
        </w:trPr>
        <w:tc>
          <w:tcPr>
            <w:tcW w:w="1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Technology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10, 2023, and on June 7, 2023, our board adopted two distinct stock option plans for our company (which we refer to individually, the 2023 Stock Option Plan #1 and the 2023 Stock Option Plan #2; collectively, the 2023 Stock Option Plans). The plans were otherwise substantially similar in their substance.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principal purposes of the 2023 Plans were to: (a) improve individual performance by providing long-term incentives and rewards to certain of our employees, directors, and consultants; (b) assist our company in attracting, retaining, and motivating certain employees, directors, and consultants with experience and ability; and (c) align the interests of such persons with those of our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awards have been granted under the 2023 Stock Option Plans or any other prior plan on or after the effective date of the 2025 Plan (defined below). The 2023 Stock Option Plans have been replaced by the 2025 Plan on February 28,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principal terms of the 2023 Stock Option Plan #1 and the 2023 Stock Option Plan #2 is a summary and is qualified in its entirety by their full text and all amendments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2023 Stock Option Plans may be administered by our board or a committee appointed by, and consisting of two or more members of, the board of directors (or the Plan Administrator). At any time when no committee has been appointed to administer each of the 2023 Stock Option Plans, the board will be the Plan Administrator. The Plan Administrator, in its exclusive discretion, selects the individuals to whom awards may be granted, the types of awards granted, the time or times at which such awards are granted, and the terms and conditions of such awards. The Plan Administrator also has exclusive authority to interpret each of the 2023 Stock Option Plans and the terms of any instrument evidencing any awards and may adopt and change rules and regulations of general application for their administration. The Plan Administrator may delegate administrative duties to such of our company’s officers as it so determines. Unless sooner terminated, each of the 2023 Stock Option Plans shall terminate ten years after the earlier of the plan’s adoption by the board and approval by our company’s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Reserve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2023 Stock Option Plan #1 provides for the grant of options to purchase up to 3,247,030 shares of the common stock of the Corporation. The maximum aggregate number of shares of common stock that may be optioned and sold under the 2023 Stock Option Plan #1 will be subject to an increase on the first day of each fiscal quarter equal to 15% increase in the total outstanding shares of our common stock in the preceding quarter. As of the date of this Report, there are no shares available for issuance under the 2023 Stock Option Plan #1.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2023 Stock Option Plan #2 provides for the grant of options to purchase up to 1,727,730 shares of the common stock of the Corporation. The maximum aggregate number of shares of common stock that may be optioned and sold under the 2023 Stock Option Plan #2 will be increased each quarter, with the first quarterly increase on June 20, 2023, and every three months thereafter. As of the date of this Report, there are 860,349 shares available for issuance under the 2023 Stock Option Plan #2.</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maximum number of shares available under each of the 2023 Stock Option Plans is equal to the lesser of: (1) the number of shares equal to 15% of the outstanding shares of common stock on the applicable adjustment date (or the Adjustment Date), less (a) the number of shares of common stock that may be optioned and sold under the plan prior to the Adjustment Date, and (b) the number of shares of common stock that may be optioned and sold under any other stock option plan of our company in effect as of the Adjustment Date; or (2) such lesser number of shares of common stock as may be determined by the board. Any shares of common stock that have been made subject to an award that cease to be subject to the award (other than by reason of exercise or settlement of the award to the extent it is exercised for or settled in shares) shall again be available for issuance in connection with future grants of awards under each of the 2023 Stock Option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company may require participants to pay to our company the amount of any taxes that our company is required by applicable federal, state, local or foreign law to withhold with respect to the grant, vesting or exercise of awards granted under the 2023 Stock Option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award may be granted to any officer, director or employee of our company (which we refer to as a Related Company, as defined in the 2023 Stock Option Plans), that the Plan Administrator from time to time selects. An award may also be granted to any consultant, agent, advisor or independent contractor who provides services to our company or any Related Company, so long as such Consultant Participant: (a) is a natural person; (b) renders bona fide services that are not in connection with the offer and sale of our company’s securities in a capital-raising transaction; and (c) does not directly or indirectly promote or maintain a market for our company’s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Types of Option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2023 Stock Option Plans provide for the grant of stock options, which may be incentive stock options (or ISOs) or nonqualified stock options (or NSOs), which entitle the holder to purchase a specified number of shares of common stock at a specified price (the exercise price), subject to the terms and conditions of the stock option grant. An option holder may pay the exercise price of an option in cash or by any other method of payment which the Stock Option Administrator shall approve. Each of the 2023 Stock Option Plans provides that an option has a term of 10 years from the grant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exercise price of an ISO shall be at least 100% of the fair market value of the common stock on the grant date. If an ISO is granted to a recipient who owns more than 10% of the total combined voting power of all classes of the stock of our company or of its parent or subsidiary corporations (which we refer to as a Ten Percent Stockholder), the exercise price of the ISO shall not be less than 110% of the fair market value of the common stock on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common stock with respect to ISOs that are exercisable for the first time by an option holder during any calendar year may not exceed $100,000. Options or portions thereof that exceed such limit will generally be treated as NSOs. No ISO may be granted to any person who, at the time of the grant, owns or is deemed to own stock possessing more than 10% of our company’s total combined voting power or that of any of our company’s affiliates unless the option exercise price is at least 110% of the fair market value of common stock on the date of grant.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auto"/>
        </w:rPr>
        <w:t>Changes to Capital Structure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certain changes in capitalization, including a stock split, stock dividend, or an extraordinary corporate transaction such as any reorganization, merger, consolidation, recapitalization, or reclassification, proportionate adjustments will be made in the number and kind of shares available for issuance under each of the 2023 Stock Option Plans, the number and kind of shares subject to each outstanding award, and/or the exercise price of each outstanding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Transferability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Awards granted under the 2023 Stock Option Plans may not be assigned, pledged, or transferred in any manner, other than by will or by the applicable laws of descent and distribution, and may be exercised, during the lifetime of the participant, only by the participant. Notwithstanding the foregoing, the Plan Administrator may, in its discretion, permit award transfers after the participant’s death. If the Plan Administrator makes an award transferable, such award will be subject to all the terms and conditions of the plan and those contained in the instrument evidencing the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may amend, suspend or terminate each of the 2023 Stock Option Plans at any time. Any such termination will not affect outstanding awards. No amendment, alteration, suspension, or termination of the 2023 Stock Option Plans will materially impair the rights of any participant, unless mutually agreed otherwise between the participant and our company. Approval of the stockholders shall be required for any amendment, where required by applicable law, as well as (i) to increase the number of shares of common stock available for issuance under each of the 2023 Stock Option Plans and (ii) to change the persons or class of persons eligible to receive awards under each of the 2023 Stock Option Plans. Unless sooner terminated, the February 2023 Stock Option Plan shall terminate ten years after the earlier of the plan’s adoption by the board and approval by our company’s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Equity Incentive Plan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2025, the board approved the Nano Nuclear Energy Inc. 2025 Equity Incentive Plan (the “2025 Plan”), effective as of February 28, 2025. The 2025 Plan was approved by the shareholders on April 23, 2025, which replaced the 2023 Stock Option Plans.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description of the principal terms of the 2025 Plan is a summary and is qualified in its entirety by their full text and all amendments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2025 Plan is to enhance our ability to attract, retain and motivate persons who make important contributions to us by providing these individuals with equity ownership opportunities and/or equity-linked compensatory opportunities. Equity awards and equity-linked compensatory opportunities are intended to assist in further aligning the interests of directors, employees, and consultants with those of our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Administrator (as defined below) may grant awards to any director, employee or consultant of the Company or its subsidiaries. Only employees are eligible to receive incentive stock options. As of the date of this Report, approximately 67 individuals will be eligible to participate in the 2025 Plan, which includes approximately 4 non-employee directors, 37 full-time employees, and 26 consultants.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2025 Plan will be administered by the board or one or more committees or subcommittees of the board, which will be comprised, unless otherwise determined by the board, solely of not less than two members who will be non-employee directors (a “Committee”), or any officer that has been delegated administrative authority pursuant to the 2025 Plan for the duration such delegation is in effect (collectively, the “Administrator”). The Administrator, which initially will be the Compensation Committee of our board of directors, will have full power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the delivery of cash, shares, other securities, other awards or other property and other amounts payable with respect to an award shall be made; (vii) interpret, administer, reconcile any inconsistency in, settle any controversy regarding, correct any defect in and/or complete any omission in the 2025 Plan and any instrument or agreement relating to, or award granted under, the 2025 Plan; (viii) establish, amend, suspend, or waive any rules and regulations and appoint such agents as the administrator shall deem appropriate for the proper administration of the 2025 Plan; (ix) accelerate the vesting or exercisability of, payment for or lapse of restrictions on, awards; (x) to reprice existing awards or to grant awards in connection with or in consideration of the cancellation of an outstanding award with a higher price; and (xi) make any other determination and take any other action that the administrator deems necessary or desirable for the administration of the 2025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may be issued under the 2025 Plan is the sum of (A) 4,750,000, plus (B) any shares that are available under the 2023 Stock Option Plans as of the effective date of the 2025 Plan, plus (C) an increase commencing on January 1, 2026, and continuing annually on each anniversary thereof through and including January 1, 2035, equal to the lesser of (i) 5% of the shares of Common Stock outstanding on the last day of the immediately preceding calendar year and (ii) such smaller number of shares of Common Stock as determined by the board or the Committee.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74"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10,000,000 shares of Common Stock may be issued upon the exercise of incentive stock options.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issuable under the 2025 Plan may be authorized, but unissued, or reacquired. Shares underlying any awards under the 2025 Plan that are settled in cash, forfeited, canceled, repurchased, held back upon exercise of an option or settlement of an award to cover the exercise price or tax withholding satisfied without the issuance of stock or otherwise terminated (other than by exercise) will be added back to the Shares available for issuance under the 2025 Plan, although shares shall not again become available for issuance as incentive stock options. Additionally, shares of Common Stock issued as “substitute awards” (as defined in the 2025 Plan) will not count against the 2025 Plan’s share limit, except substitute awards that are incentive stock options will count against the incentive stock option limit.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share reserve described herein may be subject to certain adjustments in the event of certain changes in the capitalization of the Company (see </w:t>
      </w:r>
      <w:r>
        <w:rPr>
          <w:rFonts w:ascii="Times New Roman" w:cs="Times New Roman" w:eastAsia="Times New Roman" w:hAnsi="Times New Roman"/>
          <w:sz w:val="18"/>
          <w:szCs w:val="18"/>
          <w:i w:val="1"/>
          <w:iCs w:val="1"/>
          <w:color w:val="auto"/>
        </w:rPr>
        <w:t xml:space="preserve">Equitable Adjustments </w:t>
      </w:r>
      <w:r>
        <w:rPr>
          <w:rFonts w:ascii="Times New Roman" w:cs="Times New Roman" w:eastAsia="Times New Roman" w:hAnsi="Times New Roman"/>
          <w:sz w:val="18"/>
          <w:szCs w:val="18"/>
          <w:color w:val="auto"/>
        </w:rPr>
        <w:t>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Limitation on Awards to Non-Employee Directors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2025 Plan contains a limitation whereby the value of all awards under the 2025 Plan and all other cash compensation paid by the Company to any non-employee director may not exceed $750,000 for the first calendar year a non-employee director is initially appointed to the board, and $500,000 in any other calendar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2025 Plan provides for the grant of stock options, stock appreciation rights, restricted stock, restricted stock units, performance awards, dividend equivalent awards, and other stock- or cash-based awards (collectively, “awards”).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The 2025 Plan permits the granting of both options intended to qualify as incentive stock options under Section 422 of the Internal Revenue Code of 1986, as amended (the “Code”) and options that do not so qualify. Options granted under the 2025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awards under the 2025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of each option will be determined by the Administrator, but such exercise price may not be less than 100% of the fair market value of one share of Common Stock on the date of grant or, in the case of an incentive stock option granted to a 10% or greater stockholder, 110% of such share’s fair market value. The term of each option will be set by the Administrator and may not exceed ten (10) years from the date of grant (or five (5) years for an incentive stock option granted to a 10% or greater stockholder). The Administrator will determine at what time or times each option may be exercised, including the ability to accelerate the vesting of such options.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exercise of an option, the exercise price must be paid in full either in cash, check or, with approval of the Administrator, by surrender of other shares of Common Stock that meet the conditions established by the Administrator to avoid adverse accounting consequences to the Company, by broker-assisted cashless exercise, by delivery of a notice of “net exercise” to the Company, such other consideration and method of payment to the extent permitted by applicable law, or any combination of the foregoing methods of payment.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The Administrator may award stock appreciation rights subject to such conditions and restrictions as it may determine. Stock appreciation rights entitle the recipient to shares of Common Stock or cash, equal to the value of the appreciation in the Company’s stock price over the exercise price, as set by the Administrator and which will be at least equal to the fair market value of a share of Common Stock on the grant date. The term of each stock appreciation right will be set by the Administrator and may not exceed ten years from the date of grant. The Administrator will determine at what time or times each stock appreciation right may be exercised, including the ability to accelerate the vesting of such stock appreciation rights.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A restricted stock award is an award of shares of Common Stock that vest in accordance with the terms and conditions established by the Administrator. The Administrator will determine the persons to whom grants of restricted stock awards are made, the number of restricted shares to be awarded, the price (if any) to be paid for the restricted shares, the time or times within which awards of restricted stock may be subject to forfeiture, the vesting schedule and rights to acceleration thereof, and all other terms and conditions of restricted stock awards. Unless otherwise provided in the applicable award agreement, a participant generally will have the rights and privileges of a stockholder as to such restricted shares, including without limitation the right to vote such restricted shares and the right to receive cash dividends, if applicable.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Restricted stock units are the right to receive shares of Common Stock at a future date in accordance with the terms of such grant upon the attainment of certain conditions specified by the Administrator. Restrictions or conditions could include, but are not limited to, the attainment of performance goals, continuous service with the Company or its subsidiaries, the passage of time or other restrictions or conditions. The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 The value of the restricted stock units may be paid in Common Stock, cash, other securities, other property, or a combination of the foregoing, as determined by the Administrator.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restricted stock units will have no voting rights. Prior to settlement or forfeiture, restricted stock units awarded under the 2025 Plan may, at the Administrator’s discretion, provide for a right to dividend equivalents.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Administrator has the authority to grant stock options, stock appreciation rights, restricted stock, or restricted stock units as a performance award, which means that such awards vest at least in part upon the attainment of one or more specified performance criteria. For each performance period, the Administrator will have the sole authority to select the length of such performance period, the types of performance award to be granted, the performance criteria that will be used to establish the performance goals, and the level(s) of performance which shall result in a performance award being earned. At any time, the Administrator may adjust or modify the calculation of a performance goal for a performance period, to appropriately reflect any circumstance or event that occurs during a performance period and that in the Administrator’s sole discretion, warrants adjustment or modification. Depending on the type of performance award granted, the previously discussed terms and conditions will also apply to a performance award.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Performance criteria for a performance award may be based on the attainment of specific levels of performance of the Company (and/or one or more subsidiaries, divisions, business segments or operational units, or any combination of the foregoing) and may include, without limitation, any of the following: (i) net earnings or net income (before or after taxes); (ii) basic or diluted earnings 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 (xiv) margins; (xv) productivity and operating efficiencies; (xvi)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w:t>
      </w:r>
    </w:p>
    <w:p>
      <w:pPr>
        <w:spacing w:after="0" w:line="4" w:lineRule="exact"/>
        <w:rPr>
          <w:sz w:val="20"/>
          <w:szCs w:val="20"/>
          <w:color w:val="auto"/>
        </w:rPr>
      </w:pPr>
    </w:p>
    <w:p>
      <w:pPr>
        <w:jc w:val="both"/>
        <w:ind w:firstLine="8"/>
        <w:spacing w:after="0" w:line="253" w:lineRule="auto"/>
        <w:tabs>
          <w:tab w:leader="none" w:pos="4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and savings; (xxxi) productivity and efficiencies; (xxxii) strategic partnerships or transactions; and (xxxiii) personal targets, goals or completion of projects. Any one or more of the performance criteria may be used on an absolute or relative basis to measure the performance of the Company and/or one or more subsidiaries as a whole or any business unit(s) of the Company and/or one or more subsidiaries or any combination thereof, or any of the above performance criteria may be compared to the performance of a selected group of comparison or peer companies, or a published or special index that the Administrator deems appropriate, or as compared to various stock market indices.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An award of dividend equivalents entitles the holder to be credited with an amount equal to all dividends paid on one share of Common Stock while the holder’s tandem award is outstanding. Dividend equivalents may be paid currently or credited to an account for the participant, settled in cash or Common Stock, and subject to the same restriction on transferability and forfeitability as the award with respect to which the dividend equivalents are granted.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Other Stock- or Cash-Based Awards</w:t>
      </w:r>
      <w:r>
        <w:rPr>
          <w:rFonts w:ascii="Times New Roman" w:cs="Times New Roman" w:eastAsia="Times New Roman" w:hAnsi="Times New Roman"/>
          <w:sz w:val="18"/>
          <w:szCs w:val="18"/>
          <w:color w:val="auto"/>
        </w:rPr>
        <w:t>. Other stock-based awards may be granted either alone, in addition to, or in tandem with, other awards granted under the 2025 Plan and/or cash awards made outside of the 2025 Plan. The Administrator shall have authority to determine the service providers to whom and the time or times at which other stock-based awards shall be made, the amount of such other stock-based awards, and all other conditions of the other stock-based awards, including any dividend and/or voting rights. The Administrator may grant cash awards in such amounts and subject to such performance or other vesting criteria and terms and conditions as the Administrator may determine.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Repricing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the 2025 Plan, unless a repricing is approved by shareholders, in no case may the Administrator (i) amend an outstanding option or stock appreciation right to reduce the exercise price of the award, (ii) cancel, exchange, or surrender an outstanding option or stock appreciation right in exchange for cash or other awards for the purpose of repricing the award, or (iii) cancel, exchange, or surrender an outstanding option or stock appreciation right in exchange for an option or stock appreciation right with an exercise price that is less than the exercise price of the original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2025 Plan are responsible for the payment of any federal, state, or local taxes that the Company or its subsidiaries are required by law to withhold upon the exercise of options or stock appreciation rights or vesting of other awards. Without limitation, the Administrator may, in its sole discretion, permit a participant to satisfy, in whole or in part, the foregoing withholding liability by (A) the delivery of shares of Common Stock (which are not subject to any pledge or other security interest) owned by the participant having a fair market value equal to such withholding liability, (B) having the Company withhold from the number of shares of Common Stock otherwise issuable or deliverable pursuant to the exercise or settlement of the award a number of shares of Common Stock with a fair market value equal to such withholding liability, (C) deducting an amount sufficient to satisfy such withholding obligation from any payment of any kind otherwise due to a participant, (D) accepting a payment from the participant in cash, by wire transfer of immediately available funds, or by check made payable to the order of the Company, or (E) if there is a public market for the shares of Common Stock at the time the withholding obligation for a tax obligation is to be satisfied, selling shares issued pursuant to the award creating the withholding obligation. The amount withheld pursuant to any of the foregoing payment forms will be determined by the Company and may be up to (but not in excess of) the aggregate amount of such obligations based on the maximum statutory withholding rates in the participant’s jurisdiction for all tax obligations that are applicable to such taxable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merger, consolidation, recapitalization, stock split, reverse stock split, reorganization, split-up, spin-off, combination, repurchase or other change in corporate structure affecting the Common Stock, the Administrator will adjust (i) the number and class of shares which may be delivered under the 2025 Plan (or number and kind of other securities or other property); (ii) the number, class and price (including the exercise or strike price of options and stock appreciation rights) of shares of Common Stock subject to outstanding awards, (iii) any applicable performance criteria, performance period, and other terms and conditions of outstanding performance awards, and (iv) the 2025 Plan’s numerical limits.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in the 2025 Plan), each outstanding award shall be assumed or an equivalent award substituted by the acquiring or successor corporation or a parent of the acquiring or successor corporation. Unless determined otherwise by the Administrator, if a successor refuses to assume or substitute for the award, (A) the participant will fully vest in and have the right to exercise the award, (B) all applicable restrictions will lapse, and (C) all performance objectives and other vesting criteria will be deemed achieved at targeted levels.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determined otherwise by the Administrator, an award may not be sold, pledged, assigned, hypothecated, transferred, or disposed of in any manner, except to a participant’s estate or legal representative, and may be exercised, during the lifetime of the participant, only by the participant.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2025 Plan became effective on February 28, 2025, the date it was adopted by our board, and, unless terminated earlier, the 2025 Plan will continue in effect for a term of ten (10)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0" w:name="page91"/>
    <w:bookmarkEnd w:id="9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may amend, alter, suspend or terminate the 2025 Plan at any time. No amendment or termination of the 2025 Plan will materially impair the rights of any participant, unless mutually agreed otherwise between the participant and the Company. Approval of the stockholders shall be required for any amendment, where required by applicable law, as well as (i) to increase the number of shares of Common Stock available for issuance under the 2025 Plan and (ii) to change the persons or class of persons eligible to receive awards under the 2025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Recoupment Policy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awards granted under the 2025 Plan, all amounts paid under the 2025 Plan, and all shares of Common Stock issued under the 2025 Plan shall be subject to reduction, recoupment, clawback, or recovery by the Company in accordance with applicable laws and with Company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Plan RSU Agreements to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RSU award agreements (or the 2025 RSU Award Agreements) pursuant to the 2025 Plan with our executive officers under similar terms from time to time. Under the 2025 RSU Award Agreements, each applicable executive officer is granted certain number of restricted stock units under the 2025 Plan at certain fair value at each grant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3, 2025, the compensation committee of our board approved certain RSU grants to our executive officers, effective as of June 3,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 (“RSU”) Grant</w:t>
            </w:r>
          </w:p>
        </w:tc>
        <w:tc>
          <w:tcPr>
            <w:tcW w:w="2480" w:type="dxa"/>
            <w:vAlign w:val="bottom"/>
            <w:tcBorders>
              <w:bottom w:val="single" w:sz="8" w:color="auto"/>
            </w:tcBorders>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6"/>
        </w:trPr>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Executive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RSU on the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8"/>
        </w:trPr>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Schedule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4,018,086</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June 3, 2025</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One third (1/3) on each of</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James Walker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2,511,348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first, second and</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1,507,001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third anniversary</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Florent Heidet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804,055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Grant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-568325</wp:posOffset>
            </wp:positionV>
            <wp:extent cx="170561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05610" cy="1454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-285115</wp:posOffset>
            </wp:positionV>
            <wp:extent cx="170561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13, 2025, the compensation committee of our board approved certain additional RSU grants to our executive officers, effective as of November 13,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 (“RSU”) Grant</w:t>
            </w:r>
          </w:p>
        </w:tc>
        <w:tc>
          <w:tcPr>
            <w:tcW w:w="2480" w:type="dxa"/>
            <w:vAlign w:val="bottom"/>
            <w:tcBorders>
              <w:bottom w:val="single" w:sz="8" w:color="auto"/>
            </w:tcBorders>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6"/>
        </w:trPr>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Executive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RSU on the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8"/>
        </w:trPr>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Schedule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6,200,059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2025</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One third (1/3) on each of</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James Walker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3,000,041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first, second and</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1,800,086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third anniversary</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Florent Heidet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380,035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Grant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-568325</wp:posOffset>
            </wp:positionV>
            <wp:extent cx="170561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05610" cy="1460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-285115</wp:posOffset>
            </wp:positionV>
            <wp:extent cx="170561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RSUs were awarded under and subject to the terms of the 2025 Plan. To memorialize the RSU grants, the Company entered into RSU Agreements with each of our executive officers. The RSU Agreements contain substantially similar terms and conditions, pursuant to which each executive officer was granted certain fixed amount of RSUs with certain applicable vesting schedules, subject to each officer’s continued service with us through each applicable vesting date. Any applicable fraction of an RSU that would otherwise be vested will be accumulated and will vest only when a whole RSU has accumulated.</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each officer’s RSUs have been registered under the Securities Act, but are subject to restriction given each officer’s status as an affiliate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 Agreements with Our Independent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independent director agreements with each of our independent directors under similar terms. In general, our independent directors are not employees of our company, instead, they serve as independent contractors and can be terminated by either party at any time. They may pursue any other activities and engagements during their terms of agreements with us.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those agreements, each of our independent directors is (i) entitled to a cash compensation of $5,000 upon full execution of his agreements with us, and an additional $10,000 at one year anniversary of such agreement, for services so rendered; and (ii) granted options to purchase 40,000 shares of our company’s common stock at an exercise price of $3.00 per share, exercisable within three years. Those agreements also contain customary restrictive covenants relating to confidentiality, non-competition, non-solicitation and non-disparagement, as well as indemnification.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those agreements is twenty-four (24) months commencing from their respective effective date of those agreements, subject to renewal and early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Compensatory Arrangements of Certain Officers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 2025, the compensation committee of our board approved certain amendments to the compensation arrangements for our non-executive directors, effective as of June 3,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New Annual Cash</w:t>
            </w:r>
          </w:p>
        </w:tc>
      </w:tr>
      <w:tr>
        <w:trPr>
          <w:trHeight w:val="238"/>
        </w:trPr>
        <w:tc>
          <w:tcPr>
            <w:tcW w:w="900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Name of Independent Directors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124"/>
        </w:trPr>
        <w:tc>
          <w:tcPr>
            <w:tcW w:w="87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bl>
    <w:p>
      <w:pPr>
        <w:sectPr>
          <w:pgSz w:w="11900" w:h="16900" w:orient="portrait"/>
          <w:cols w:equalWidth="0" w:num="1">
            <w:col w:w="11240"/>
          </w:cols>
          <w:pgMar w:left="320" w:top="686" w:right="33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64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Diane Hare</w:t>
            </w:r>
          </w:p>
        </w:tc>
        <w:tc>
          <w:tcPr>
            <w:tcW w:w="6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Kenny Yu</w:t>
            </w:r>
          </w:p>
        </w:tc>
        <w:tc>
          <w:tcPr>
            <w:tcW w:w="64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Dr. Seth Berl</w:t>
            </w:r>
          </w:p>
        </w:tc>
        <w:tc>
          <w:tcPr>
            <w:tcW w:w="6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414"/>
        </w:trPr>
        <w:tc>
          <w:tcPr>
            <w:tcW w:w="34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92" w:name="page93"/>
    <w:bookmarkEnd w:id="9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executive directors will not receive compensation in their capacity as directors. The following table shows the compensation paid to our non-executive directors during the year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0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580" w:type="dxa"/>
            <w:vAlign w:val="bottom"/>
            <w:gridSpan w:val="2"/>
          </w:tcPr>
          <w:p>
            <w:pPr>
              <w:jc w:val="center"/>
              <w:ind w:right="300"/>
              <w:spacing w:after="0" w:line="247"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(1)</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Dr. Tsun Yee Law</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100,029</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6"/>
        </w:trPr>
        <w:tc>
          <w:tcPr>
            <w:tcW w:w="26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Diane Hare</w:t>
            </w:r>
          </w:p>
        </w:tc>
        <w:tc>
          <w:tcPr>
            <w:tcW w:w="680" w:type="dxa"/>
            <w:vAlign w:val="bottom"/>
            <w:gridSpan w:val="2"/>
          </w:tcPr>
          <w:p>
            <w:pPr>
              <w:ind w:left="2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7"/>
                <w:szCs w:val="17"/>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100,724</w:t>
            </w:r>
          </w:p>
        </w:tc>
        <w:tc>
          <w:tcPr>
            <w:tcW w:w="10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100,029</w:t>
            </w:r>
          </w:p>
        </w:tc>
        <w:tc>
          <w:tcPr>
            <w:tcW w:w="14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50,000</w:t>
            </w:r>
          </w:p>
        </w:tc>
        <w:tc>
          <w:tcPr>
            <w:tcW w:w="8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250,753</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20"/>
                <w:szCs w:val="20"/>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Dr. Kenny Yu</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100,724</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100,029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250,753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35,000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196"/>
        </w:trPr>
        <w:tc>
          <w:tcPr>
            <w:tcW w:w="26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Dr. Seth Berl</w:t>
            </w:r>
          </w:p>
        </w:tc>
        <w:tc>
          <w:tcPr>
            <w:tcW w:w="680" w:type="dxa"/>
            <w:vAlign w:val="bottom"/>
            <w:gridSpan w:val="2"/>
          </w:tcPr>
          <w:p>
            <w:pPr>
              <w:ind w:left="2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7"/>
                <w:szCs w:val="17"/>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437,700</w:t>
            </w:r>
          </w:p>
        </w:tc>
        <w:tc>
          <w:tcPr>
            <w:tcW w:w="14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50,000</w:t>
            </w:r>
          </w:p>
        </w:tc>
        <w:tc>
          <w:tcPr>
            <w:tcW w:w="8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487,700</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20"/>
                <w:szCs w:val="20"/>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Consists of consulting fees or directors fees paid and accrued pursuant to their respective consulting agreements with us.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each stock options held by the named directors under the 2023 Stock Option Plans and the 2025 Plan as of the date of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vested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10, 2023</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10,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February 10, 2026</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13, 2035</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Hare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2023</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7, 2026</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13, 2035</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Kenny Yu</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2023</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7, 2026</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28.32</w:t>
            </w: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13, 2035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Plan RSU Agreements to Non-Executive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2025 RSU Award Agreements pursuant to the 2025 Plan with our non-executive directors under similar terms from time to time. Under the 2025 RSU Award Agreements, each applicable non-executive director is granted certain number of RSUs under the 2025 Plan at certain fair value at each grant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3, 2025, the compensation committee of our board approved certain RSU grants to our non-executive director, effective as of June 3,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RSU Grant</w:t>
            </w:r>
          </w:p>
        </w:tc>
        <w:tc>
          <w:tcPr>
            <w:tcW w:w="2480" w:type="dxa"/>
            <w:vAlign w:val="bottom"/>
            <w:tcBorders>
              <w:bottom w:val="single" w:sz="8" w:color="auto"/>
            </w:tcBorders>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6"/>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Independent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RSU on the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8"/>
        </w:trPr>
        <w:tc>
          <w:tcPr>
            <w:tcW w:w="2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RSU</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Schedule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 2025</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first anniversary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Diane 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100,029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Grant Date</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Kenny Yu</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100,029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shd w:val="clear" w:color="auto" w:fill="CCEEFF"/>
          </w:tcPr>
          <w:p>
            <w:pPr>
              <w:spacing w:after="0"/>
              <w:rPr>
                <w:sz w:val="18"/>
                <w:szCs w:val="18"/>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Seth Berl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50% vested on the last day of the</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six months from Grant Date; with</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remaining 50% vested on the</w:t>
            </w:r>
          </w:p>
        </w:tc>
      </w:tr>
      <w:tr>
        <w:trPr>
          <w:trHeight w:val="234"/>
        </w:trPr>
        <w:tc>
          <w:tcPr>
            <w:tcW w:w="20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437,700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first anniversary of Grant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-967740</wp:posOffset>
            </wp:positionV>
            <wp:extent cx="170561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05610" cy="1454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-685165</wp:posOffset>
            </wp:positionV>
            <wp:extent cx="170561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13, 2025, the compensation committee of our board approved certain additional RSU grants to our non-executive director, effective as of November 13,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RSU Grant</w:t>
            </w:r>
          </w:p>
        </w:tc>
        <w:tc>
          <w:tcPr>
            <w:tcW w:w="2480" w:type="dxa"/>
            <w:vAlign w:val="bottom"/>
            <w:tcBorders>
              <w:bottom w:val="single" w:sz="8" w:color="auto"/>
            </w:tcBorders>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6"/>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Independent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RSU on the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8"/>
        </w:trPr>
        <w:tc>
          <w:tcPr>
            <w:tcW w:w="20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20"/>
                <w:szCs w:val="20"/>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RSU</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Schedule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2025</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first anniversary of</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Diane 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100,022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Kenny Yu</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100,022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shd w:val="clear" w:color="auto" w:fill="CCEEFF"/>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Seth Berl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100,022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November 13, 2025</w:t>
            </w:r>
          </w:p>
        </w:tc>
        <w:tc>
          <w:tcPr>
            <w:tcW w:w="2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-568325</wp:posOffset>
            </wp:positionV>
            <wp:extent cx="170561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05610" cy="1454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-285115</wp:posOffset>
            </wp:positionV>
            <wp:extent cx="170561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ectPr>
          <w:pgSz w:w="11900" w:h="16838" w:orient="portrait"/>
          <w:cols w:equalWidth="0" w:num="1">
            <w:col w:w="11240"/>
          </w:cols>
          <w:pgMar w:left="320" w:top="688" w:right="339" w:bottom="105" w:gutter="0" w:footer="0" w:header="0"/>
        </w:sectPr>
      </w:pPr>
    </w:p>
    <w:bookmarkStart w:id="93" w:name="page94"/>
    <w:bookmarkEnd w:id="9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RSUs were awarded under and subject to the terms of the 2025 Plan. To memorialize the RSU grants, the Company entered into RSU Agreements with each of its independent directors. The RSU Agreements contained substantially similar terms and conditions, pursuant to which each non-executive director was granted certain fixed amount of RSUs with certain applicable vesting schedules, subject to each non-executive director’s continued service with us through each applicable vesting date. Any applicable fraction of an RSU that would otherwise be vested will be accumulated and will vest only when a whole RSU has accumulated.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each director’s RSUs have been registered under the Securities Act, but are subject to restriction given each director’s status as an independent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issuance of shares of common stock as equity awards to any of our executive officers and directors during the fiscal years ended September 30, 2025 and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ownership of our common stock as of December 16, 2025, with respect to: (i) each person, or group of affiliated persons, known to us to be the beneficial owner of more than 5% of our common stock; (ii) each of our directors; (iii) each of our named executive officers; and (iv) all of our current directors and executive officers as a group.</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Applicable percentage ownership is based on 50,474,294 shares of common stock outstanding as of December 16, 2025.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common stock subject to options or warrants held by that person that are currently exercisable or exercisable within 60 days of the date of this Report.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common stock that they beneficially own, subject to applicable community property laws.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gridSpan w:val="4"/>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0" w:type="dxa"/>
            <w:vAlign w:val="bottom"/>
          </w:tcPr>
          <w:p>
            <w:pPr>
              <w:spacing w:after="0"/>
              <w:rPr>
                <w:sz w:val="1"/>
                <w:szCs w:val="1"/>
                <w:color w:val="auto"/>
              </w:rPr>
            </w:pPr>
          </w:p>
        </w:tc>
      </w:tr>
      <w:tr>
        <w:trPr>
          <w:trHeight w:val="238"/>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and Address of Beneficial Owner </w:t>
            </w:r>
            <w:r>
              <w:rPr>
                <w:rFonts w:ascii="Times New Roman" w:cs="Times New Roman" w:eastAsia="Times New Roman" w:hAnsi="Times New Roman"/>
                <w:sz w:val="29"/>
                <w:szCs w:val="29"/>
                <w:b w:val="1"/>
                <w:bCs w:val="1"/>
                <w:color w:val="auto"/>
                <w:vertAlign w:val="superscript"/>
              </w:rPr>
              <w:t>(1)</w:t>
            </w:r>
          </w:p>
        </w:tc>
        <w:tc>
          <w:tcPr>
            <w:tcW w:w="4300" w:type="dxa"/>
            <w:vAlign w:val="bottom"/>
            <w:gridSpan w:val="4"/>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50"/>
        </w:trPr>
        <w:tc>
          <w:tcPr>
            <w:tcW w:w="6940" w:type="dxa"/>
            <w:vAlign w:val="bottom"/>
            <w:gridSpan w:val="2"/>
            <w:vMerge w:val="continue"/>
          </w:tcPr>
          <w:p>
            <w:pPr>
              <w:spacing w:after="0"/>
              <w:rPr>
                <w:sz w:val="21"/>
                <w:szCs w:val="21"/>
                <w:color w:val="auto"/>
              </w:rPr>
            </w:pPr>
          </w:p>
        </w:tc>
        <w:tc>
          <w:tcPr>
            <w:tcW w:w="22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00" w:type="dxa"/>
            <w:vAlign w:val="bottom"/>
            <w:tcBorders>
              <w:top w:val="single" w:sz="8" w:color="auto"/>
            </w:tcBorders>
          </w:tcPr>
          <w:p>
            <w:pPr>
              <w:jc w:val="right"/>
              <w:ind w:right="33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Percentage </w:t>
            </w:r>
            <w:r>
              <w:rPr>
                <w:rFonts w:ascii="Times New Roman" w:cs="Times New Roman" w:eastAsia="Times New Roman" w:hAnsi="Times New Roman"/>
                <w:sz w:val="28"/>
                <w:szCs w:val="28"/>
                <w:b w:val="1"/>
                <w:bCs w:val="1"/>
                <w:color w:val="auto"/>
                <w:vertAlign w:val="superscript"/>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 Financial Ventures Group LLC. </w:t>
            </w:r>
            <w:r>
              <w:rPr>
                <w:rFonts w:ascii="Times New Roman" w:cs="Times New Roman" w:eastAsia="Times New Roman" w:hAnsi="Times New Roman"/>
                <w:sz w:val="29"/>
                <w:szCs w:val="29"/>
                <w:b w:val="1"/>
                <w:bCs w:val="1"/>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10,700,000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Jay Jiang Yu </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11,000,000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James Walker </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1,300,000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Jaisun Garcha </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590,000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Florent Heidet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Tsun Yee Law </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Diane Hare </w:t>
            </w:r>
            <w:r>
              <w:rPr>
                <w:rFonts w:ascii="Times New Roman" w:cs="Times New Roman" w:eastAsia="Times New Roman" w:hAnsi="Times New Roman"/>
                <w:sz w:val="29"/>
                <w:szCs w:val="29"/>
                <w:color w:val="auto"/>
                <w:vertAlign w:val="superscript"/>
              </w:rPr>
              <w:t>(7)</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Kenny Yu </w:t>
            </w:r>
            <w:r>
              <w:rPr>
                <w:rFonts w:ascii="Times New Roman" w:cs="Times New Roman" w:eastAsia="Times New Roman" w:hAnsi="Times New Roman"/>
                <w:sz w:val="29"/>
                <w:szCs w:val="29"/>
                <w:color w:val="auto"/>
                <w:vertAlign w:val="superscript"/>
              </w:rPr>
              <w:t>(8)</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Seth Berl</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(eight individuals)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13,137,500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09"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Except as otherwise indicated, the business address of our directors and executive officers is 10 Times Square,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10018.</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50,474,294 shares of common stock outstanding as of December 16, 2025.</w:t>
      </w:r>
    </w:p>
    <w:p>
      <w:pPr>
        <w:spacing w:after="0" w:line="222" w:lineRule="exact"/>
        <w:rPr>
          <w:rFonts w:ascii="Times New Roman" w:cs="Times New Roman" w:eastAsia="Times New Roman" w:hAnsi="Times New Roman"/>
          <w:sz w:val="18"/>
          <w:szCs w:val="18"/>
          <w:color w:val="auto"/>
        </w:rPr>
      </w:pPr>
    </w:p>
    <w:p>
      <w:pPr>
        <w:jc w:val="both"/>
        <w:ind w:left="340" w:hanging="332"/>
        <w:spacing w:after="0" w:line="237"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10,000,000 shares of common stock held by I Financial Ventures Group LLC. (or I Financial), a Limited Liability company incorporated under the laws of Delaware and includes 700,000 shares of common stock issuable to I Financial upon the exercise of the vested options within 60 days of the date of this Report and 300,000 shares of common stock issuable to Jay Jiang Yu upon the exercise of the vested options within 60 days of the date of this Report. Jay Jiang Yu, our President, Secretary, Treasurer, and Chairman of the Board of Directors, is the sole shareholder and director of I Financial, and exercises voting and dispositive power of the securities held by I Financial. The address of I Financial is c/o 10 Times Square,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10018.</w:t>
      </w:r>
    </w:p>
    <w:p>
      <w:pPr>
        <w:spacing w:after="0" w:line="20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300,000 shares of common stock held by James Walker, our Chief Executive Officer and director, and includes 1,000,000 shares of common stock issuable upon the exercise of the vested options within 60 days of the date of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250,000 shares of common stock held by Jaisun Garcha, our Chief Financial Officer and director, and includes 340,000 shares of common stock issuable upon the exercise of the vested options within 60 days of the date of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100,000 shares of common stock held by Dr. Tsun Yee Law, our independent director, and includes 35,000 shares of common stock issuable upon the exercise of the vested options within 60 days of the date of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45,000 shares of common stock issuable upon the exercise of the vested options by Diane Hare, our independent director, within 60 days of the date of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 shares of common stock held by Dr. Kenny Yu, our independent director, and includes 45,000 shares of common stock issuable upon the exercise of the vested options within 60 days of the date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February 8, 2022 (inception) to which we were a party in which (i) the amount involved exceeded or will exceed $120,000 and (ii) any of our directors, executive officers or holders of more than 5% of our capital stock, or any member of the immediate family of, or person sharing the household with, any of the foregoing persons, who had or will have a direct or indirect material interest, other than equity and other compensation, termination, change in control and other similar arrangements, which are described under “Executive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with LIS Technologies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August 2024, we invested $2,000,000 as an equity investment into LIST as part of its $11.88 million seed funding round. This additional capital into LIST is anticipated to help fuel the development of its proprietary, patented advanced laser enrichment technology.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LIST is a U.S. based, proprietary developer of a patented advanced laser technology, making use of infrared wavelengths to selectively excite the molecules of desired isotopes to separate them from other isotopes. LIST’s Laser Isotope Separation Technology (“L.I.S.T”) has a huge range of applications, including LIST being the only U.S.-origin (and patented) laser uranium enrichment company, and several major advantages over traditional methods such as gas diffusion, centrifuges, and prior art laser enrichment. The L.I.S.T proprietary laser-based process is more energy-efficient and has the potential to be deployed with highly competitive capital and operational costs due to high throughput, high duty cycle and reduced complexity compared to competing technologies.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L.I.S.T is optimized for LEU (Low Enriched Uranium) for existing civilian nuclear power plants, HALEU for the next generation of Small Modular Reactors (SMR) and microreactors like the ones we are developing, the production of stable isotopes for medical and scientific research, and applications in quantum computing manufacturing for semiconductor technologies. For laser enrichment of uranium, this method has sufficient selectivity that will enable the production of LEU in a single stage and HALEU in two stages.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Concurrently with our investment in LIST, we entered into an agreement with LIST to collaborate and assist in developing their technologies to secure a fuel supply for our future operations and the wider nuclear energy industry. The parties intend that LIST will provide us with enriched UF6 at no cost to be fabricated and sold to customers, with LIST to receive compensation as part of a profit-sharing arrangement to be agreed to between the companies in the future. Through collaboration with LIST, we anticipate that we will build supportive facilities around LIST’s enrichment facility, including such facilities as deconversion and fuel fabrication.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leased approximately 7,000 square feet of dedicated space within our Oak Ridge, Tennessee based nuclear technology facility to LIST to enable the next phase of the revitalization of its proprietary laser-based process. We lease this space to LIST for $7,000 per month. The lease is effective on September 2, 2024 and has a term ending on September 1, 2034.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relationship with LIST is considered a related party transaction since certain of our executive directors and officers, including Jay Jiang Yu, Jaisun Garcha, and Dr. Tsun Yee Law, also serve as directors and officers for LIST, and James Walker serves as a consultant to LIST. Our investment in LIST was unanimously approved by all of our disinterested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Recent Sales of Unregistered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Senior Executives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Company Policies on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“Related Party Transaction” is a transaction, arrangement, or relationship in which we or any of our subsidiaries was, is or will be a participant, the amount of which involved exceeds $120,000 in any one fiscal year, and in which any related person had, has or will have a direct or indirect material interest. A “Related Person” means:</w:t>
      </w:r>
    </w:p>
    <w:p>
      <w:pPr>
        <w:spacing w:after="0" w:line="176"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one of our directors, or a nominee to become one of our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5.0% of any class of our voting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5.0% of any class of our voting securities, and any person (other than a tenant or employee) sharing the household of such director, executive officer or beneficial owner of more than 5.0% of any class of our voting securities;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general partner or principal or in a similar position or in which such person has a 5% or greater beneficial ownership interest in any class of our company’s voting securities.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intends to adopt a related party transactions policy. Pursuant to this policy, our Audit Committee will review all material facts of all Related Party Transactions and either approve or disapprove entry into the Related Party Transaction, subject to certain limited exceptions. In determining whether to approve or disapprove entry into a Related Party Transaction, our Audit Committee shall consider,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will require that all Related Party Transactions required to be disclosed in our filings with the SEC be so disclosed in accordance with applicable laws, rules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by our independent accountant, WithumSmith+Brown, PC (or Withum) for the fiscal years ended September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r>
      <w:tr>
        <w:trPr>
          <w:trHeight w:val="223"/>
        </w:trPr>
        <w:tc>
          <w:tcPr>
            <w:tcW w:w="342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235,200</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23,150</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12,792</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for the audit of our year-end financial statements and services that are normally provided by Withum in connection with regulatory filings. The aggregate fees of Withum for professional services rendered for the audit of our annual financial statements, quarterly reviews and review of the financial information included in our registration statements with the SEC for the years ended September 30, 2025 and 2024 totaled $420,980 and $235,200,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any fees for consultations concerning financial accounting and reporting standards for the fiscal years ended September 30,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 fees include professional services rendered in connection with tax compliance and preparation of tax returns. We paid Withum $23,150 and $12,792 for tax related fees for the fiscal years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fees relate to professional services are not included in the categories above. We did not pay any other fees for the fiscal years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Board of Directors Pre-Approval of Audit and Permissible Non-Audit Services of Independent Auditor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3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66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Pr>
          <w:p>
            <w:pPr>
              <w:spacing w:after="0"/>
              <w:rPr>
                <w:sz w:val="24"/>
                <w:szCs w:val="24"/>
                <w:color w:val="auto"/>
              </w:rPr>
            </w:pPr>
          </w:p>
        </w:tc>
      </w:tr>
      <w:tr>
        <w:trPr>
          <w:trHeight w:val="445"/>
        </w:trPr>
        <w:tc>
          <w:tcPr>
            <w:tcW w:w="2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0"/>
        </w:trPr>
        <w:tc>
          <w:tcPr>
            <w:tcW w:w="105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100)</w:t>
            </w:r>
          </w:p>
        </w:tc>
        <w:tc>
          <w:tcPr>
            <w:tcW w:w="6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42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63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0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66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and not required, or the required information is presented in the financial statements and notes thereto beginning on page F-1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hereby file as part of this Report the exhibits listed in the attached Exhibit Index. Exhibits that are incorporated herein by reference can be inspected on the SEC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80" w:type="dxa"/>
            <w:vAlign w:val="bottom"/>
            <w:gridSpan w:val="5"/>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NANO NUCLEAR ENERGY INC.</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440" w:type="dxa"/>
            <w:vAlign w:val="bottom"/>
            <w:gridSpan w:val="6"/>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40" w:type="dxa"/>
            <w:vAlign w:val="bottom"/>
          </w:tcPr>
          <w:p>
            <w:pPr>
              <w:spacing w:after="0"/>
              <w:rPr>
                <w:sz w:val="24"/>
                <w:szCs w:val="24"/>
                <w:color w:val="auto"/>
              </w:rPr>
            </w:pPr>
          </w:p>
        </w:tc>
      </w:tr>
      <w:tr>
        <w:trPr>
          <w:trHeight w:val="446"/>
        </w:trPr>
        <w:tc>
          <w:tcPr>
            <w:tcW w:w="3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9"/>
        </w:trPr>
        <w:tc>
          <w:tcPr>
            <w:tcW w:w="1060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100)</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September 30,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5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September 30, 2025 and 2024</w:t>
            </w:r>
          </w:p>
        </w:tc>
        <w:tc>
          <w:tcPr>
            <w:tcW w:w="410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September 30,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September 30,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65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453"/>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4"/>
          </w:tcPr>
          <w:p>
            <w:pPr>
              <w:jc w:val="center"/>
              <w:ind w:right="4040"/>
              <w:spacing w:after="0"/>
              <w:rPr>
                <w:sz w:val="20"/>
                <w:szCs w:val="20"/>
                <w:color w:val="auto"/>
              </w:rPr>
            </w:pPr>
            <w:r>
              <w:rPr>
                <w:rFonts w:ascii="Times New Roman" w:cs="Times New Roman" w:eastAsia="Times New Roman" w:hAnsi="Times New Roman"/>
                <w:sz w:val="18"/>
                <w:szCs w:val="18"/>
                <w:color w:val="auto"/>
                <w:w w:val="95"/>
              </w:rPr>
              <w:t>F-1</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0" w:name="page101"/>
    <w:bookmarkEnd w:id="10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 Nuclear Energy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Nano Nuclear Energy, Inc. and Subsidiaries (the “Company”) as of September 30, 2025 and 2024, and the related consolidated statements of operations, stockholders’ equity and cash flows for the years ended September 30, 2025 and 2024, and the related notes to the consolidated financial statements (collectively referred to as the “consolidated financial statements”). In our opinion, the consolidated financial statements present fairly, in all material respects, the consolidated financial position of the Company as of September 30, 2025 and 2024, and the consolidated results of its operations and its cash flows for the years ended September 30, 2025 and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audits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203,265,052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28,507,257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902,861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833,947</w:t>
            </w:r>
          </w:p>
        </w:tc>
        <w:tc>
          <w:tcPr>
            <w:tcW w:w="80" w:type="dxa"/>
            <w:vAlign w:val="bottom"/>
          </w:tcPr>
          <w:p>
            <w:pPr>
              <w:spacing w:after="0"/>
              <w:rPr>
                <w:sz w:val="18"/>
                <w:szCs w:val="18"/>
                <w:color w:val="auto"/>
              </w:rPr>
            </w:pPr>
          </w:p>
        </w:tc>
      </w:tr>
      <w:tr>
        <w:trPr>
          <w:trHeight w:val="22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current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29,341,204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non-current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235,235</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9,783,777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1,689,607</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2,560,896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1,830,124</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8"/>
                <w:szCs w:val="18"/>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9,075,045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1,314,596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761,479</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534,128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281,352</w:t>
            </w:r>
          </w:p>
        </w:tc>
        <w:tc>
          <w:tcPr>
            <w:tcW w:w="80" w:type="dxa"/>
            <w:vAlign w:val="bottom"/>
          </w:tcPr>
          <w:p>
            <w:pPr>
              <w:spacing w:after="0"/>
              <w:rPr>
                <w:sz w:val="18"/>
                <w:szCs w:val="18"/>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1,978,000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770,500</w:t>
            </w:r>
          </w:p>
        </w:tc>
        <w:tc>
          <w:tcPr>
            <w:tcW w:w="80" w:type="dxa"/>
            <w:vAlign w:val="bottom"/>
            <w:shd w:val="clear" w:color="auto" w:fill="CCEEFF"/>
          </w:tcPr>
          <w:p>
            <w:pPr>
              <w:spacing w:after="0"/>
              <w:rPr>
                <w:sz w:val="19"/>
                <w:szCs w:val="19"/>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2,261,414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1,650,383</w:t>
            </w:r>
          </w:p>
        </w:tc>
        <w:tc>
          <w:tcPr>
            <w:tcW w:w="80" w:type="dxa"/>
            <w:vAlign w:val="bottom"/>
            <w:shd w:val="clear" w:color="auto" w:fill="CCEEFF"/>
          </w:tcPr>
          <w:p>
            <w:pPr>
              <w:spacing w:after="0"/>
              <w:rPr>
                <w:sz w:val="19"/>
                <w:szCs w:val="19"/>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September 30, 2025 and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 none issued and outstanding as of September 30, 2025 and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September 30, 2025 and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2024; 41,738,358 and 30,715,663 shares issued and outstanding as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2025 and September 30, 2024, 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tcPr>
          <w:p>
            <w:pPr>
              <w:spacing w:after="0"/>
              <w:rPr>
                <w:sz w:val="20"/>
                <w:szCs w:val="20"/>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280,065,412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49,038,165</w:t>
            </w:r>
          </w:p>
        </w:tc>
        <w:tc>
          <w:tcPr>
            <w:tcW w:w="80" w:type="dxa"/>
            <w:vAlign w:val="bottom"/>
            <w:shd w:val="clear" w:color="auto" w:fill="CCEEFF"/>
          </w:tcPr>
          <w:p>
            <w:pPr>
              <w:spacing w:after="0"/>
              <w:rPr>
                <w:sz w:val="18"/>
                <w:szCs w:val="18"/>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(57,500,857)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(17,433,781)</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Operating expenses</w:t>
            </w:r>
          </w:p>
        </w:tc>
        <w:tc>
          <w:tcPr>
            <w:tcW w:w="38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29,562,520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6,850,993</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15,446,513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3,725,565</w:t>
            </w:r>
          </w:p>
        </w:tc>
        <w:tc>
          <w:tcPr>
            <w:tcW w:w="0" w:type="dxa"/>
            <w:vAlign w:val="bottom"/>
          </w:tcPr>
          <w:p>
            <w:pPr>
              <w:spacing w:after="0"/>
              <w:rPr>
                <w:sz w:val="1"/>
                <w:szCs w:val="1"/>
                <w:color w:val="auto"/>
              </w:rPr>
            </w:pPr>
          </w:p>
        </w:tc>
      </w:tr>
      <w:tr>
        <w:trPr>
          <w:trHeight w:val="230"/>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(46,216,533)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6,149,457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359,002</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(10,151,556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gridSpan w:val="2"/>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37,910,547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26,222,442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37,910,547</w:t>
            </w:r>
          </w:p>
        </w:tc>
        <w:tc>
          <w:tcPr>
            <w:tcW w:w="32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26,222,442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September 30, 2025</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9"/>
        </w:trPr>
        <w:tc>
          <w:tcPr>
            <w:tcW w:w="3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3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30,715,663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8,824,183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9"/>
              </w:rPr>
              <w:t>206,399,132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206,400,015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(15,076,556)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(15,076,556)</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1,254,512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18,476,051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18,476,174</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2,404,405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2,404,500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18,824,215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18,824,215</w:t>
            </w:r>
          </w:p>
        </w:tc>
      </w:tr>
      <w:tr>
        <w:trPr>
          <w:trHeight w:val="22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(40,067,076)</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41,738,358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280,065,412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(57,500,857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100" w:type="dxa"/>
            <w:vAlign w:val="bottom"/>
          </w:tcPr>
          <w:p>
            <w:pPr>
              <w:spacing w:after="0"/>
              <w:rPr>
                <w:sz w:val="18"/>
                <w:szCs w:val="18"/>
                <w:color w:val="auto"/>
              </w:rPr>
            </w:pPr>
          </w:p>
        </w:tc>
      </w:tr>
      <w:tr>
        <w:trPr>
          <w:trHeight w:val="42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September 30, 2024</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20" w:type="dxa"/>
            <w:vAlign w:val="bottom"/>
          </w:tcPr>
          <w:p>
            <w:pPr>
              <w:spacing w:after="0"/>
              <w:rPr>
                <w:sz w:val="24"/>
                <w:szCs w:val="24"/>
                <w:color w:val="auto"/>
              </w:rPr>
            </w:pPr>
          </w:p>
        </w:tc>
        <w:tc>
          <w:tcPr>
            <w:tcW w:w="230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3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23,184,869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9,288,553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(7,282,225)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 conversion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(5,000,000)</w:t>
            </w:r>
          </w:p>
        </w:tc>
        <w:tc>
          <w:tcPr>
            <w:tcW w:w="16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4,999,800</w:t>
            </w:r>
          </w:p>
        </w:tc>
        <w:tc>
          <w:tcPr>
            <w:tcW w:w="120" w:type="dxa"/>
            <w:vAlign w:val="bottom"/>
          </w:tcPr>
          <w:p>
            <w:pPr>
              <w:spacing w:after="0"/>
              <w:rPr>
                <w:sz w:val="18"/>
                <w:szCs w:val="18"/>
                <w:color w:val="auto"/>
              </w:rPr>
            </w:pPr>
          </w:p>
        </w:tc>
        <w:tc>
          <w:tcPr>
            <w:tcW w:w="13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4,804,019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34,953,456</w:t>
            </w:r>
          </w:p>
        </w:tc>
        <w:tc>
          <w:tcPr>
            <w:tcW w:w="120" w:type="dxa"/>
            <w:vAlign w:val="bottom"/>
          </w:tcPr>
          <w:p>
            <w:pPr>
              <w:spacing w:after="0"/>
              <w:rPr>
                <w:sz w:val="18"/>
                <w:szCs w:val="18"/>
                <w:color w:val="auto"/>
              </w:rPr>
            </w:pPr>
          </w:p>
        </w:tc>
        <w:tc>
          <w:tcPr>
            <w:tcW w:w="13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34,953,937</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(3,629,829)</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(3,629,829)</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R&amp;D acquisition common stock issuances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786,495</w:t>
            </w:r>
          </w:p>
        </w:tc>
        <w:tc>
          <w:tcPr>
            <w:tcW w:w="120" w:type="dxa"/>
            <w:vAlign w:val="bottom"/>
          </w:tcPr>
          <w:p>
            <w:pPr>
              <w:spacing w:after="0"/>
              <w:rPr>
                <w:sz w:val="18"/>
                <w:szCs w:val="18"/>
                <w:color w:val="auto"/>
              </w:rPr>
            </w:pPr>
          </w:p>
        </w:tc>
        <w:tc>
          <w:tcPr>
            <w:tcW w:w="13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786,500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1,275,494</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1,275,500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1,043,941</w:t>
            </w:r>
          </w:p>
        </w:tc>
        <w:tc>
          <w:tcPr>
            <w:tcW w:w="120" w:type="dxa"/>
            <w:vAlign w:val="bottom"/>
          </w:tcPr>
          <w:p>
            <w:pPr>
              <w:spacing w:after="0"/>
              <w:rPr>
                <w:sz w:val="18"/>
                <w:szCs w:val="18"/>
                <w:color w:val="auto"/>
              </w:rPr>
            </w:pPr>
          </w:p>
        </w:tc>
        <w:tc>
          <w:tcPr>
            <w:tcW w:w="13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1,044,000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320,255</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320,257</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(10,151,556)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(10,151,556)</w:t>
            </w:r>
          </w:p>
        </w:tc>
      </w:tr>
      <w:tr>
        <w:trPr>
          <w:trHeight w:val="223"/>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49,038,165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(17,433,781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(40,067,076)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(10,151,556)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18,824,215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320,257</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295,576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96,532</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355,162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10,393</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acquisition paid-in equity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786,500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contingent liability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(68,914)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(628,090)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(235,235)</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553,115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571,474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(162,541)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5,079</w:t>
            </w:r>
          </w:p>
        </w:tc>
      </w:tr>
      <w:tr>
        <w:trPr>
          <w:trHeight w:val="22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liability</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770,500</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(19,621,963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(8,464,146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(9,075,045)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long-term investments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(8,449,332)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(17,524,377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206,400,015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34,953,937</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(15,076,556)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(3,554,829)</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18,476,176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1,275,500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2,404,500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1,044,000</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211,904,135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33,718,608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174,757,795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21,554,462</w:t>
            </w: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28,507,257</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6,952,795</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Supplemental Disclosures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Inception of Right-of-Use Asset / Lease Liability</w:t>
            </w:r>
          </w:p>
        </w:tc>
        <w:tc>
          <w:tcPr>
            <w:tcW w:w="2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1,026,348</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AND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NANO Nuclear Energy Inc. (“NANO”, the “Company”, “we”, “us”, “our” and similar terminology) was incorporated under the laws of the State of Nevada on February 8, 2022 (“Inception”) and is headquartered in New York, New York. The Company is an early-stage nuclear energy company developing smaller, simpler, and safer advanced portable clean energy solutions utilizing advanced proprietary reactor designs, intellectual property and research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principally focused on the following four business lines as part of its development strategy:</w:t>
      </w:r>
    </w:p>
    <w:p>
      <w:pPr>
        <w:spacing w:after="0" w:line="221" w:lineRule="exact"/>
        <w:rPr>
          <w:sz w:val="20"/>
          <w:szCs w:val="20"/>
          <w:color w:val="auto"/>
        </w:rPr>
      </w:pPr>
    </w:p>
    <w:p>
      <w:pPr>
        <w:jc w:val="both"/>
        <w:ind w:left="660" w:hanging="328"/>
        <w:spacing w:after="0" w:line="23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Reactor Business</w:t>
      </w:r>
      <w:r>
        <w:rPr>
          <w:rFonts w:ascii="Times New Roman" w:cs="Times New Roman" w:eastAsia="Times New Roman" w:hAnsi="Times New Roman"/>
          <w:sz w:val="18"/>
          <w:szCs w:val="18"/>
          <w:color w:val="auto"/>
        </w:rPr>
        <w:t>. The Company’s on-demand capable, advanced nuclear microreactors currently in development are (i) the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installation </w:t>
      </w:r>
      <w:r>
        <w:rPr>
          <w:rFonts w:ascii="Times New Roman" w:cs="Times New Roman" w:eastAsia="Times New Roman" w:hAnsi="Times New Roman"/>
          <w:sz w:val="18"/>
          <w:szCs w:val="18"/>
          <w:b w:val="1"/>
          <w:bCs w:val="1"/>
          <w:color w:val="auto"/>
        </w:rPr>
        <w:t>KRONOS MMR™ Energy System</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xml:space="preserve">™, a portable modular solid core battery reactor, and (iii) the space focused, portable </w:t>
      </w:r>
      <w:r>
        <w:rPr>
          <w:rFonts w:ascii="Times New Roman" w:cs="Times New Roman" w:eastAsia="Times New Roman" w:hAnsi="Times New Roman"/>
          <w:sz w:val="18"/>
          <w:szCs w:val="18"/>
          <w:b w:val="1"/>
          <w:bCs w:val="1"/>
          <w:color w:val="auto"/>
        </w:rPr>
        <w:t>LOKI MMR™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KRONOS MMR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 targets new markets beyond those targeted by the Company’s smaller microreactors,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designed for more remote locations, such as island and remote communities, remote industry such as mining projects or oil and gas. The </w:t>
      </w:r>
      <w:r>
        <w:rPr>
          <w:rFonts w:ascii="Times New Roman" w:cs="Times New Roman" w:eastAsia="Times New Roman" w:hAnsi="Times New Roman"/>
          <w:sz w:val="18"/>
          <w:szCs w:val="18"/>
          <w:b w:val="1"/>
          <w:bCs w:val="1"/>
          <w:color w:val="auto"/>
        </w:rPr>
        <w:t>KRONOS MMR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 will target larger population centers, industrial heat for larger industries, data and artificial intelligence centers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 industry, and </w:t>
      </w:r>
      <w:r>
        <w:rPr>
          <w:rFonts w:ascii="Times New Roman" w:cs="Times New Roman" w:eastAsia="Times New Roman" w:hAnsi="Times New Roman"/>
          <w:sz w:val="18"/>
          <w:szCs w:val="18"/>
          <w:b w:val="1"/>
          <w:bCs w:val="1"/>
          <w:color w:val="auto"/>
        </w:rPr>
        <w:t>LOKI MMR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color w:val="auto"/>
        </w:rPr>
        <w:t xml:space="preserve"> will target extra-terrestrial applications. The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xml:space="preserve"> microreactor has moved from the design stage to physical test work stages, with materials testing, irradiation testing, and initial rig construction currently underway, to ensure the accuracy of the Company’s modelled reactor and to optimize the dimensions and composition of the system. In March 2025, the Company announced that it had assembled the first reactor core hardware of the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xml:space="preserve"> microreactor for initial non-nuclear testing. The Company envisions readily replaceable microreactors which it can provide to customers in several sectors, including data centers, artificial intelligence computer and quantum computing; crypto mining; military applications; disaster relief; transportation (including shipping); mining projects; water desalination and green hydrogen plants; remote habitation, and space exploration. The </w:t>
      </w:r>
      <w:r>
        <w:rPr>
          <w:rFonts w:ascii="Times New Roman" w:cs="Times New Roman" w:eastAsia="Times New Roman" w:hAnsi="Times New Roman"/>
          <w:sz w:val="18"/>
          <w:szCs w:val="18"/>
          <w:b w:val="1"/>
          <w:bCs w:val="1"/>
          <w:color w:val="auto"/>
        </w:rPr>
        <w:t>KRONOS™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LOKI™</w:t>
      </w:r>
      <w:r>
        <w:rPr>
          <w:rFonts w:ascii="Times New Roman" w:cs="Times New Roman" w:eastAsia="Times New Roman" w:hAnsi="Times New Roman"/>
          <w:sz w:val="18"/>
          <w:szCs w:val="18"/>
          <w:color w:val="auto"/>
        </w:rPr>
        <w:t xml:space="preserve"> designs and related intellectual property and other assets were acquired on January 10, 2025 (see Note 9 for further information). Through its subsidiary, Nano Nuclear Space Inc., the Company is seeking to explore the potential commercial applications of developing micronuclear reactor technology in space.</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Processing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its subsidiary, HALEU Energy Fuel Inc., and in coordination with the Department of Energy (“DOE”),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also seeking to develop a domestic low-enriched uranium (LEU) and high-assay low-enriched uranium (HALEU) fuel supply chain to supply fuel not only for its own reactors but also to the broader advanced nuclear reactor industry. In December 2024, the Company announced that LIS Technologies Inc., a related party through common ownership and management (“LIST”) (see Note 8), and the Company were selected by the DOE to participate as one of six contract awardees in the DOE’s Low-Enriched Uranium (LEU) Enrichment Acquisition Program (“LEU Acquisition Program”). Under the contract awarded to LIST, LIST was selected as the prime contractor, with the Company as the key subcontractor bringing the Company’s technical and regulatory expertise in advanced nuclear solutions to the collaboration (see Note 8 for further information).</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Transportation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its subsidiary, Advanced Fuel Transportation Inc., the Company is developing a high-capacity HALEU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transportation product, capable of moving commercial quantities of HALEU fuel around North America. The Company is also examining strategic acquisitions within the nuclear transportation industry to provide the Company with the in-house capability to move its own materials and reactors, although as of the date of these consolidated financial statements, the Company has not entered into any definitive agreements with any third party for such acquisitions.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Consultation Services. </w:t>
      </w:r>
      <w:r>
        <w:rPr>
          <w:rFonts w:ascii="Times New Roman" w:cs="Times New Roman" w:eastAsia="Times New Roman" w:hAnsi="Times New Roman"/>
          <w:sz w:val="18"/>
          <w:szCs w:val="18"/>
          <w:color w:val="auto"/>
        </w:rPr>
        <w:t>The Company also plans on providing nuclear service support and consultation services for the expanding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resurgent nuclear energy industry, both domestically and internationally.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these consolidated financial statements,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 owned legal subsidiaries, American Uranium Inc., HALEU Energy Fuel Inc., Advanced Fuel Transportation Inc., Nano Nuclear Space Inc., KRONOS MMR Inc., and LOKI MMR Inc. Each of these subsidiaries is a Nevada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“Common Stock” refers to the common stock, $0.0001 par value per share,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assumes the realization of assets and settlement of liabilities in the normal course of business. At September 30, 2025, the Company had working capital of $200,841,189 and accumulated deficit of $57,500,857. For the year ended September 30, 2025, the Company had net loss of $40,067,076, and negative cash flows from operations of $19,621,963. At September 30, 2024, the Company had working capital of $27,502,873 and accumulated deficit of $17,433,781. For the year ended September 30, 2024, the Company had net loss of $10,151,556, and negative cash flows from operations of $8,464,146. The ability of the Company to continue as a going concern is dependent on the Company’s ability to secure financing from capital markets or other sources, including investors, loans, government grants or alternative funding and, ultimately, on the Company’s ability to generate revenue and profitable operations. Management is of the opinion that sufficient working capital is available to meet the Company’s liabilities and commitments as they become due at least for the next twelve months after the date the consolidated financial statements are issued to conform to the going concern uncertainty period. During the year ended September 30, 2025, the Company received approximately $18.5 million from exercises of warrants, $2.4 million from exercises of stock options, and net proceeds of approximately $191 million from the Company’s October 2024 Follow-on Offering (as defined in Note 4 below), its November 2024 Private Placement offering (as defined in Note 4), and its May 2025 Private Placement Offering (as defined in Note 4). In order to achieve the Company’s long-term strategy, the Company expects to raise</w:t>
      </w:r>
    </w:p>
    <w:p>
      <w:pPr>
        <w:sectPr>
          <w:pgSz w:w="11900" w:h="16838" w:orient="portrait"/>
          <w:cols w:equalWidth="0" w:num="1">
            <w:col w:w="11240"/>
          </w:cols>
          <w:pgMar w:left="320" w:top="684" w:right="339" w:bottom="0" w:gutter="0" w:footer="0" w:header="0"/>
        </w:sectPr>
      </w:pPr>
    </w:p>
    <w:bookmarkStart w:id="106" w:name="page107"/>
    <w:bookmarkEnd w:id="106"/>
    <w:p>
      <w:pPr>
        <w:spacing w:after="0" w:line="282" w:lineRule="auto"/>
        <w:rPr>
          <w:sz w:val="20"/>
          <w:szCs w:val="20"/>
          <w:color w:val="auto"/>
        </w:rPr>
      </w:pPr>
      <w:r>
        <w:rPr>
          <w:rFonts w:ascii="Times New Roman" w:cs="Times New Roman" w:eastAsia="Times New Roman" w:hAnsi="Times New Roman"/>
          <w:sz w:val="18"/>
          <w:szCs w:val="18"/>
          <w:color w:val="auto"/>
        </w:rPr>
        <w:t>additional capital or secure other sources of financing to support its growth in the future. After September 30, 2025, the Company completed a private placement offering generating gross proceeds of approximately $400 million. See Note 11 for further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The consolidated financial statements include the accounts of NANO and its wholly owned subsidiaries. All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time of purchase to be cash equivalents. Cash equivalents are stated at cost, which approximates market value, because of the short maturity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The Company believes that the estimates, judgments and assumptions made when accounting for items and matters such as, but not limited to, equity-based compensation, right of use assets and lease liabilities, and contingencies are reasonable, based on information available at the time they are made. These estimates, judgments and assumptions can affect the reported amounts of assets and liabilities as of the date of the consolidated financial statements, as well as amounts reported on the consolidated statements of operations during the years presented.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maintains its cash balances at a financial institution and such amounts exceeded federally insured limits at September 30, 2025 and 2024.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 commercial accounts receivable associated with other income corresponding to consulting services provided by the Company. Accounts receivable are presented net of allowance for credit losses. Management estimates an allowance for credit losses by evaluating client-specific conditions, including adverse situations that may affect a client’s ability to pay, as well as both microeconomic and macroeconomic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primarily relate to payments made to consultants and vendors in advance of the service being provided.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measured at cost less accumulated depreciation and impairment charges. When components of an item of property, plant and equipment have different useful lives, they are accounted for as separate items of property, plant and equipment and depreciated separately. Gains and losses on disposal of an item of property, plant and equipment are determined by comparing the proceeds from disposal with the carrying amount of property, plant and equipment and are recognized in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In-process research and development (“IPR&amp;D”) represents incomplete research and development projects that had not reached technological feasibility as of their acquisition date in 2025. Due to the nature of IPR&amp;D, the expected life is indefinite, and it will be evaluated periodically for attainment of technological feasibility or impairment. Technological feasibility is established when an enterprise has completed all planning, designing, coding and testing activities that are necessary to establish that a product can be produced to meet its design specifications including functions, features and technical performance requirements. IPR&amp;D is amortized over its estimated useful life once technological feasibility is reached. As the Company has not yet completed all designing, coding and testing activities, management has determined that technological feasibility has not yet been reached. Management has not identified any indicators that would suggest any impairment of the IPR&amp;D. If IPR&amp;D is determined not to have technological feasibility or is abandoned, it will be impaired or written off at such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calculated over the depreciable amount, which is the cost of the asset less its residual value. Depreciation methods, useful lives and residual values are reviewed at each reporting period and are adjusted if appropriate. Assets are depreciated according to the straight-line method based on estimated useful lives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depreciated</w:t>
            </w:r>
          </w:p>
        </w:tc>
      </w:t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427"/>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life or the remaining term of the associated lease.</w:t>
            </w:r>
          </w:p>
        </w:tc>
        <w:tc>
          <w:tcPr>
            <w:tcW w:w="14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September 30, 2025, the Company had two long-term operating leases. As of September 30, 2024, the Company had one long-term operating lease.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the private placement in accordance with the guidance contained in Financial Accounting Standards Board (“FASB”) Accounting Standards Codification (“ASC”) Topic 815, “Derivatives and Hedging”. Accordingly, the Company evaluated and classified the warrant instruments under equity treatment at their assigned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investments in equity that are within the scope of ASC 321-10, “Investments - Equity Securities” (“ASC 321-10”), as either (1) investments with a readily determinable fair value, which are recorded at fair value or (2) investments without a readily determinable fair value, which are recorded at cost less any impairment. Equity investments that are initially concluded to not have a readily determinable fair value are reassessed at each</w:t>
      </w:r>
    </w:p>
    <w:p>
      <w:pPr>
        <w:sectPr>
          <w:pgSz w:w="11900" w:h="16926" w:orient="portrait"/>
          <w:cols w:equalWidth="0" w:num="1">
            <w:col w:w="11240"/>
          </w:cols>
          <w:pgMar w:left="320" w:top="684" w:right="339" w:bottom="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reporting period. If the Company identifies observable price changes in orderly transactions for the identical or a similar investment of the same issuer, it measures the equity security at fair value as of the date that the observable transaction occurred using valuation techniques that are permitted under ASC 820, “Fair Value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2024, the Company had investments in equity of $2.0 million, representing the Company’s equity investment in LIST (see Note 8). The equity investments were accounted for in accordance with ASC 321-10, and the Company accounted for the equity investments at cost less impairment because there were no readily determinable fair values for these investments as of September 30, 2025. No impairment was recorded during the years ended September 30, 2025 and 2024. The investments were recognized as other assets on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tranche of shares of Common Stock as mezzanine equity since such shares were redeemable at the option of the holder, but not mandatorily redeemable. On March 30, 2024, the Company amended its subscription agreement with the holder of such shares to terminate the redemption right, which resulted in a conversion of such shares from mezzanine equity to stockholders’ equity. See Note 4 for further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Equity-based compensation for employees and non-employees is measured using a fair value-based method for all equity-based awards. The Company recognizes equity-based compensation costs on a straight-line basis over the requisite service period of the award, which is generally the option vesting term. Vesting terms vary based on the individual grant terms. The Company estimates the fair value of an equity-based award using a closed option valuation (Black-Scholes) pricing model. Equity-based compensation is recorded as either a general and administrative expense or a research and development expense in the consolidated statements of operations. The Company has elected to account for forfeitures of stock-based awards as they occur.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pricing model requires the input of certain assumptions that require the Company’s judgment, including the expected term and the expected stock price volatility of the underlying stock. The assumptions used in calculating the fair value of stock-based compensation represent management’s best estimates, but these estimates involve inherent uncertainties and the application of judgment. As a result, if factors change resulting in the use of different assumptions, stock-based compensation expense could be materially different in the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assumptions utilized in the Black-Scholes price model are as follows: (1) fair market value of stock price on date of grant; (2) the volatility of its underlying stock; which is estimated using an average of the historical volatility of a group of comparable publicly traded companies due to the Company’s lack of trading history; (3) expected dividend yield is zero as the Company does not anticipate paying any recurring cash dividends in the foreseeable future; (4) risk-free rate based on the United States Treasury yield curve in effect at the time of the grant; (5) expected term estimated based on the vesting and contractual term of the stock option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represent costs incurred for designing and engineering products, including the costs of developing design tools, as well as the costs to acquire technology and other assets from third parties. All research and development costs related to product development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recognized as a component of general and administrative expenses on the consolidated statements of operations. Advertising costs expensed were approximately $453,000 and $902,000, respectively, for the years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presently involved in two stockholder-initiated legal proceedings. One of such proceedings was dismissed at the trial court level in April 2025 but remains subject to appeal. The other proceeding is currently subject to a motion to dismiss. Given the status of these legal proceedings, the Company cannot reasonably estimate at September 30, 2025 the amount of any potential financial loss or cost that could result from these proceedings. The Company records liabilities for losses from legal proceedings when it determines that it is probable that the outcome in a legal proceeding will be unfavorable, and the amount of loss can be reasonably estimated.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U.S. federal government enacted tax legislation referred to as the One Big Beautiful Bill Act (“OBBBA”). The OBBBA, among other things, makes permanent 100% bonus depreciation for certain capital expenditures and immediate deduction for domestic research or experimental expenditures (R&amp;D deduction). This legislation was effective for the Company’s consolidated financial statements for the year ended September 30, 2025, except for the R&amp;D deduction which will be effective for the Company’s fiscal year 2026. The enactment of the OBBBA did not have a material impact on the Company’s consolidated financial statements for the year ended September 30, 2025. The Company is currently assessing the impact of the OBBBA on future periods.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“more-likely-than-not”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 All of the Company’s historical tax returns remain subject to examination by taxing jurisdictions. At September 30, 2025 and 2024, the Company does not believe it has any uncertain tax positions that would require either recognition or disclosure in the accompanying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attributable to common shareholders is computed by dividing reported net income (loss) attributable to common shareholders by the weighted-average number of common shares outstanding during the reporting period. Diluted earnings per share attributable to common shareholders is computed by dividing reported net income (loss) attributable to common shareholders by the sum of the weighted-average number of common shares and the number of dilutive potential common share equivalents outstanding during the period. Potential dilutive common share equivalents consist of the incremental common shares issuable upon the exercise of share options, warrants, and RSUs and the incremental shares issuable upon conversion of similar instruments.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computing diluted earnings per share, common share equivalents are not considered in periods in which a net loss is reported, as the inclusion of the common share equivalents would be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are as follows as of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3,774,000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3,127,319</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817,864</w:t>
            </w:r>
          </w:p>
        </w:tc>
        <w:tc>
          <w:tcPr>
            <w:tcW w:w="6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350,748</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7,252,067</w:t>
            </w:r>
          </w:p>
        </w:tc>
        <w:tc>
          <w:tcPr>
            <w:tcW w:w="2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4,356,864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September 30, 2025 and 2024, the Company was managed as a single operating segment in accordance with the provisions in the FASB guidance on segment reporting, which establishes standards for, and requires disclosure of, certain financial information related to reportable operating segments and geographic regions. Furthermore, the Company determined that the Company’s Chief Executive Officer is the Chief Operating Decision Maker as he is responsible for making decisions regarding the allocation of resources and assessing performance as well as for strategic operational decisions and managing the organization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FASB. In November 2024, the FASB issued ASU 2024-03, “Income Statement-Reporting Comprehensive Income-Expense Disaggregation Disclosures”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 There are no other accounting pronouncements which have been issued but are not yet effective that would have a material impact on the Company’s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2023-09”). ASU 2023-09 requires that an entity, on an annual basis, disclose additional income tax information, primarily related to the rate reconciliation and income taxes paid. The amendment in the ASU is intended to enhance the transparency and decision usefulness of income tax disclosures. The ASU’s amendments are effective for annual periods beginning after December 15, 2024. The Company is currently evaluating the impact that adoption of ASU 2023-09 will have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2025, the Company earned interest income of $5,565,457 on its cash and cash equivalents held at a financial institution, earned $250,000 from consulting services, earned $84,000 from a lease agreement (Note 8), and earned $250,000 as a non-refundable down payment for the proposed sale of its ODIN™ low-pressure coolant microreactor design and all associated intellectual property. During the year ended September 30, 2024, the Company earned interest income of $352,002 on its cash and cash equivalents held at a financial institution, and earned $7,000 from a lease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5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275,000,000 shares of Common Stock and 25,000,000 shares of preferred stock, with a par value of $0.0001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preferred stock were outstanding during the years presented. Holders of Common Stock are entitled to one vote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Round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fourth round of private financing (the “Series B Round”) began in December 2023 and ended in January 2024. During the year ended September 30, 2024, the Company sold 822,144 shares of Common Stock at a price of $3.00 per share for gross proceeds of $2,466,437 corresponding to the Series B 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7, 2024, the Company consummated a firm commitment underwritten initial public offering (the “IPO Offering”) of an aggregate of 2,562,500 shares of Common Stock at a price of $4.00 per share (the “IPO Offering Price”), generating gross proceeds of $10,250,000, and net proceeds (after deducting discounts and offering expenses) of approximately $9.0 million. In connection with the IPO Offering, the Company granted the lead managing underwriter an option (the “IPO Over-Allotment Option”), exercisable for 30 days from May 7, 2024, to purchase up to an additional 384,375 shares of Common Stock (the “IPO Over-allotment Shares”) from the Company at the Offering Price, less the underwriting discount, to cover over-allotments in the Offering.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2024, the underwriter exercised the IPO Over-Allotment Option in full, and on May 22, 2024, the closing of the purchase of the IPO Over-Allotment Shares occurred, generating gross proceeds to the Company of $1,537,500 and net proceeds of approximately $1.4 million. In connection with the IPO Offering, the Company also issued such lead managing underwriter 179,375 warrants exercisable for 179,375 shares of Common Stock at an exercise price per share of $5.00 with expiry on May 10, 2029. In connection with the IPO Offering and IPO Over-Allotment Option, the Company charged issuance costs of $1,538,405 to additional paid-in capital during the year ended September 30,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Firm Commitment Public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15, 2024, the Company consummated a firm commitment underwritten follow-on public offering (the “July 2024 Follow-on Offering”) of an aggregate of 900,000 units, consisting of an aggregate of 900,000 shares of Common Stock and 900,000 warrants to purchase up to 450,000 shares of Common Stock (the “July 2024 Follow-on Warrants”) based on an offering price of $20.00 per unit (the “July 2024 Follow-on Offering Price”), generating gross proceeds of $18 million, and net proceeds (after deducting discounts and offering expenses) of approximately $16.1 million. In connection with the July 2024 Follow-on Offering, the Company granted the lead managing underwriter an option (“July 2024 Follow-on Over-allotment Option”), exercisable for 30 days from July 15, 2024, to purchase up to an additional 135,000 shares of Common Stock (the “July 2024 Follow-on Over-allotment Shares”) and 135,0000 Warrants to purchase 67,500 shares of Common Stock (the “July 2024 Follow-on Over-allotment Warrants”) from the Company at the July 2024 Follow-on Offering Price, less underwriting discounts and other July 2024 Follow-on Offering expenses, to cover over-allotments in the July 2024 Follow-on Offering. On July 12, 2024, the underwriter exercised the July 2024 Follow-on Over-allotment Option in full with respect to the July 2024 Follow-on Over-allotment Warrants, which closed on July 15, 2024 for nominal consideration.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underwriter exercised the July 2024 Follow-on Over-allotment Option in full, and on July 18, 2024, the closing of the purchase of the July 2024 Follow-on Over-Allotment Shares occurred, generating gross proceeds to the Company of approximately $2.7 million and net proceeds of approximately $2.5 million. In connection with the July 2024 Follow-on Offering, the Company also issued such lead managing underwriter 63,000 warrants exercisable for 63,000 shares of Common Stock at an exercise price per share of $25.00 with expiry on July 15, 2029. In connection with the July 2024 Follow-on Offering and July 2024 Follow-on Over-allotment Option, the Company charged issuance costs of $2,091,424 to additional paid-in capital during the year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2024 Firm Commitment Public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23, 2024, the Company consummated a firm commitment underwritten follow-on public offering (the “October 2024 Follow-on Offering”) of an aggregate of 2,117,646 units, consisting of an aggregate of 2,117,646 shares of Common Stock and 2,117,646 warrants to purchase up to 1,058,823 shares of Common Stock (the “October 2024 Follow-on Warrants”) based on an offering price of $17.00 per unit (the “October 2024 Follow-on Offering Price”), generating gross proceeds of approximately $36 million, and net proceeds (after deducting discounts and offering expenses) of approximately $32.3 million. In connection with the October 2024 Follow-on Offering, the Company granted the lead managing underwriter an option (“October 2024 Follow-on Over-allotment Option”), exercisable for 30 days from October 25, 2024, to purchase up to an additional 317,646 shares of Common Stock (the “October 2024 Follow-on Over-allotment Shares”) and 317,646 warrants to purchase 158,823 shares of Common Stock (the “October 2024 Follow-on Over-allotment Warrants”) from the Company at the October 2024 Follow-on Offering Price, less underwriting discounts and other October 2024 Follow-on Offering expenses, to cover over-allotments in the October 2024 Follow-on Offering. On October 23, 2024, the underwriter partially exercised the October 2024 Follow-on Over-allotment Option for the October 2024 Follow-on Over-allotment Warrants (which option closed on October 25, 2024 for nominal consideration). On October 28, 2024, the lead underwriter exercised the October 2024 Follow-on Over-allotment Option in full with respect to the October 2024 Follow-on Over-allotment Shares, and on October 29, 2024, the closing of the purchase of the October 2024 Follow-on Over-Allotment Shares occurred, generating gross proceeds to the Company of approximately $5.4 million and net proceeds of approximately $4.9 million. In connection with the October 2024 Follow-on Offering, the Company issued such lead managing underwriter 105,882 warrants exercisable for 105,882 shares of Common Stock at an exercise price per share of $21.25 with expiry on October 29, 2029. In connection with the October 2024 Follow-on Over-allotment Option, the Company also issued such lead managing underwriter 15,882 warrants exercisable for 15,882 shares of Common Stock at an exercise price per share of $21.25 with expiry on October 29, 2029.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2024 Private Placement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24, 2024, the Company, entered into a securities purchase agreement (the “November 2024 SPA”) with three accredited institutional investors (the “Investors”), pursuant to which the Company agreed to offer and sell an aggregate of $60,000,048 of securities of the Company in a private placement (the “November 2024 Private Placement”), consisting of (i) 2,500,002 shares (“PIPE Shares”) of Common Stock and (ii) warrants to purchase up to 2,500,002 shares of Common Stock (the “PIPE Warrants”). The November 2024 Private Placement closed on November 27, 2024. After deducting the placement agent fees and estimated offering expenses payable by the Company, the Company received net proceeds of approximately $55,122,000. The Company intends to use these net proceeds for general working capital and general corporate purposes, which could include potential acquisitions of complementary businesses or assets. Pursuant to the November 2024 SPA, the Company issued and sold the PIPE Shares and associated PIPE Warrants at a combined purchase price of $24.00 per share. The PIPE Warrants have a term of five (5) year with an exercise price of $26.00 per share and will be exercisable immediately upon issuance of the PIPE Warrants. On November 24, 2024, in connection with the Private Placement, the Company entered into a registration rights agreement with the Investors (the “Registration Rights Agreement”), pursuant to which the Company agreed to file a registration statement with the Securities and Exchange Commission (the “SEC”) covering the resale of the PIPE Shares and the shares of Common Stock issuable upon exercise of the PIPE Warrants by no later than January 15, 2025 (the date of filing, the “Filing Date”), with such registration statement to be effective within 30 days of the Filing Date (if such registration statement is not subject to review by the SEC), or within 60 days after the Filing Date (if such registration statement is subject to limited or full review by the SEC). The Company initially filed a registration statement on Form S-1 covering the resale of these securities on January 14, 2025, which was declared effective by the SEC on January 24, 2025. The Investors are also entitled (subject to certain exceptions) to customary piggyback registration rights during the period in which the registration statement is effective. The Benchmark Company, LLC acted as placement agent for the Private Placement and received a cash fee equal to 6.0% of the gross proceeds received by the Company in the Private Placement, a non-accountable expense allowance equal to 1% of the gross proceeds received by the Company from the Private Placement, and reimbursement of up to $175,000 in legal expenses.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Private Placement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26, 2025, the Company, entered into a securities purchase agreement (the “May 2025 SPA”) with six accredited institutional investors (the “May 2025 Investors”), pursuant to which the Company agreed to offer and sell 3,888,889 shares (“May 2025 PIPE Shares”) of Common Stock of the Company in a private placement (the “May 2025 Private Placement”) for gross proceeds of $105,000,003. Pursuant to the May 2025 SPA, the Company issued and sold the May 2025 PIPE Shares in the May 2025 Private Placement at a purchase price of $27.00 per share. The May 2025 Private Placement closed on May 28, 2025. After deducting the placement agent fees and estimated offering expenses payable by the Company, the Company received net proceeds of approximately $99 million. The Company intends to use these net proceeds for research and development, marketing, general working capital and general corporate purposes, which could include potential acquisitions of complementary businesses or assets. The May 2025 SPA includes standard representations, warranties and covenants of the Company and May 2025 Investors, including a restriction on future issuances of the Company’s capital stock or filing a registration statement or any amendment or supplement thereto (subject to certain exceptions) for a period of thirty (30) days following effectiveness of the Company’s May 2025 Resale Registration Statement (as defined below) required by the May 2025 Registration Rights Agreement (as defined below). Also on May 26, 2025, in connection with the May 2025 Private Placement, the Company entered into a registration rights agreement with the Investors (the “May 2025 Registration Rights Agreement”), pursuant to which the Company agreed to file a registration statement with the SEC covering the resale of the May 2025 PIPE Shares (the “May 2025 Resale Registration Statement”) by no later than June 10, 2025 (the date of filing, the “May 2025 Filing Date”), with the May 2025 Resale Registration Statement to be effective within 30 days of the May 2025 Filing Date (if it is not subject to review by the SEC), or within 60 days after the Filing Date (if it is subject to full review by the SEC). The May 2025 Investors are also entitled (subject to certain exceptions) to customary piggyback registration rights during the period in which the May 2025 Resale Registration Statement is effective. The Company initially filed the May 2025 Registration Rights Agreement covering the May 2025 PIPE Shares on June 9, 2025, which was declared effective by the SEC on June 18, 2025. Titan Partners Group LLC, a division of American Capital Partners, LLC, acted as placement agent for the Private Placement (the “May 2025 Placement Agent”) under a placement agency agreement with the Company (“May 2025 Placement Agency Agreement”), pursuant to which it received a cash fee equal to 5.0% of the gross proceeds received by the Company in the Private Placement, and reimbursement of $150,000 in legal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2025, the Company completed an additional private placement offering. See Note 11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Mezzanine Equity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a subscription agreement (the “Put Right Subscription Agreement”) signed by the Company during the year ended September 30, 2023 as part of the Series A Round, a subscriber (the “Subscriber”) purchased 2,000,000 shares of Common Stock (the “Put Shares”) for $2.50 per share or $5,000,000 (the “Purchase Price”). The Put Right Subscription Agreement included a right (the “Put Right”) which entitled the Subscriber to elect to sell to the Company any part or all of the Put Shares acquired if (a) the Company’s initial public offering registration statement (“IPO Registration Statement”) was not declared effective by the SEC by December 31, 2023; or (b) the Company committed a material breach of the Agreement and either that breach was not capable of being remedied or, if capable of remedy, the Company did not remedy that breach as soon as possible and in any event within 30 business days of its receipt of a notice from the Subscriber requiring the Company to remedy that breach.</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was applicable up to March 30, 2024, as the Subscriber could have exercised the Put Option and required the Company to redeem the Put Shares since the IPO Registration Statement was not declared effective by the SEC by December 31, 2023. This process involved a significant number of third parties and the SEC’s declaration of effectiveness was ultimately within the SEC’s control. Therefore, this contingently redeemable feature was not considered to be within the control of the Company and was classified within mezzanine equity on the accompanying consolidated balance sheet at September 30, 2023. On March 30, 2024, the Subscriber terminated the Put Option at the request of the Company and the amount within mezzanine equity was converted to stockholders’ equity.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 for Consulting fees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2024, the Company issued to two consultants an aggregate of 20,000 shares of Common Stock with an aggregate fair value of $167,800, which represents equity-based compensation and is recorded within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2023, and June 7, 2023, the Company adopted two distinct stock option plans which are referred to individually, as the 2023 Stock Option Plan #1 and the 2023 Stock Option Plan #2 (collectively, the “2023 Stock Option Plans”). On April 23, 2025 (the “Effective Date”), the Company’s shareholders approved, and the Company adopted an equity incentive plan (the “2025 Equity Plan”) whereby a total of 4,750,000 shares plus 679,440 shares that were available for issuance under the 2023 Stock Option Plans as of the 2025 Equity Plan’s Effective Date were available for future awards under the 2025 Equity Plan. This amount may increase annually on January 1 each year beginning on January 1, 2026 to January 1, 2035, by an amount equal to the lesser of (i) 5% of the common shares outstanding on the last day of the immediately preceding calendar year and (ii) such smaller number of common shares as determined by the board of directors (the “Board”) or a committee of the Board. The common shares subject to the 2025 Equity Plan may be authorized, but unissued, or reacquired shares.</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March 6, 2025, the Company issued 338,000 stock options exercisable at $26.97 per common share with expiry on March 6, 2035, with approximately one-sixth of these options to be vested annually from 2026 to 2031 on March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year.</w:t>
      </w:r>
    </w:p>
    <w:p>
      <w:pPr>
        <w:spacing w:after="0" w:line="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13, 2025, the Company issued 765,000 fully vested stock options exercisable at $28.32 per common share with expiry on March 13, 2035, 55,000 fully vested stock options exercisable at $28.32 per common share with expiry on March 13, 2030, and 5,300 stock options exercisable at $28.32 with expiry on March 13, 2030, to be fully vested on March 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issued 6,000 stock options exercisable at $29.18 per common share with expiry on June 3, 2030, to be fully vested on June 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11, 2025, the Company issued 15,000 fully vested stock options exercisable at $34.25 per common share with expiry on June 11, 2030.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1,184,300 aggregate options granted during the year ended September 30, 2025 using a Black-Scholes pricing model and the following key assumptions:.expected term of 2.50 - 6.00 years, volatility of 87.00 - 112.23%, risk-free rate of 3.92 - 4.12%, and zero dividends.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September 30, 2025 was $20.06 per share. During the year ended September 30, 2025, total stock-based compensation for stock options expected to vest was $17,410,675. There is $6,243,821 of remaining stock compensation expense to be recognized at September 30, 2025 corresponding to future vesting dates which will occur between 2026 and 2031 and will be recognized over a weighted average period of 3.17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2024, the Company issued 125,000 fully vested stock options exercisable at $3.00 per common share with expiry on March 13, 2027. The 125,000 options were valued at $152,457 based on a Black-Scholes valuation with the following assumptions (Risk-free interest rate: 4.37%; expected life of options: 1.5 years; estimated volatility: 82.5%; dividend rate: 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issued during the year ended September 30, 2024 was $1.22 per share. There was no remaining stock compensation expense to be recognized at September 30, 2024 as all options vested immediately upon grant.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2025, the Company granted 350,748 restricted stock units (“RSUs”) to various consultants and key employees. The aggregate grant-date fair value of the RSUs was $10,234,827 or $29.18 per share based on the market price of our stock on the date of grant. The restricted stock units vests as follows: 302,964 RSUs vest one-third on the grant-date anniversary; 32,784 RSUs vest on the grant-date anniversary, and 15,000 vest 50% on the six month anniversary of the grant-date with remaining vesting on the grant-date anniversary.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2025, the Company recognized stock-based compensation for RSUs expected to vest of $1,418,313. As of September 30, 2025, we have unrecognized compensation of $8,816,514 which will be recognized over a weighted-average period of 1.35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cumulative option activity under the 2023 Stock Option Plans and the 2025 Equity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340" w:type="dxa"/>
            <w:vAlign w:val="bottom"/>
          </w:tcPr>
          <w:p>
            <w:pPr>
              <w:spacing w:after="0"/>
              <w:rPr>
                <w:sz w:val="16"/>
                <w:szCs w:val="16"/>
                <w:color w:val="auto"/>
              </w:rPr>
            </w:pPr>
          </w:p>
        </w:tc>
        <w:tc>
          <w:tcPr>
            <w:tcW w:w="154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5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34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280" w:type="dxa"/>
            <w:vAlign w:val="bottom"/>
          </w:tcPr>
          <w:p>
            <w:pPr>
              <w:spacing w:after="0"/>
              <w:rPr>
                <w:sz w:val="20"/>
                <w:szCs w:val="20"/>
                <w:color w:val="auto"/>
              </w:rPr>
            </w:pPr>
          </w:p>
        </w:tc>
        <w:tc>
          <w:tcPr>
            <w:tcW w:w="15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40" w:type="dxa"/>
            <w:vAlign w:val="bottom"/>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4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2023</w:t>
            </w:r>
          </w:p>
        </w:tc>
        <w:tc>
          <w:tcPr>
            <w:tcW w:w="1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4,007,000</w:t>
            </w:r>
          </w:p>
        </w:tc>
        <w:tc>
          <w:tcPr>
            <w:tcW w:w="12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18"/>
                <w:szCs w:val="18"/>
                <w:color w:val="auto"/>
              </w:rPr>
            </w:pP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(593,000)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September 30, 2024</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3,539,000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10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28.01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28.32</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(944,000)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3,774,000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10.31</w:t>
            </w:r>
          </w:p>
        </w:tc>
        <w:tc>
          <w:tcPr>
            <w:tcW w:w="34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106,626</w:t>
            </w:r>
          </w:p>
        </w:tc>
        <w:tc>
          <w:tcPr>
            <w:tcW w:w="100" w:type="dxa"/>
            <w:vAlign w:val="bottom"/>
            <w:tcBorders>
              <w:bottom w:val="single" w:sz="8" w:color="CCEEFF"/>
            </w:tcBorders>
          </w:tcPr>
          <w:p>
            <w:pPr>
              <w:spacing w:after="0"/>
              <w:rPr>
                <w:sz w:val="22"/>
                <w:szCs w:val="22"/>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the end of period</w:t>
            </w:r>
          </w:p>
        </w:tc>
        <w:tc>
          <w:tcPr>
            <w:tcW w:w="14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3,430,000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8.63</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102,652</w:t>
            </w:r>
          </w:p>
        </w:tc>
        <w:tc>
          <w:tcPr>
            <w:tcW w:w="100" w:type="dxa"/>
            <w:vAlign w:val="bottom"/>
            <w:shd w:val="clear" w:color="auto" w:fill="CCEEFF"/>
          </w:tcPr>
          <w:p>
            <w:pPr>
              <w:spacing w:after="0"/>
              <w:rPr>
                <w:sz w:val="17"/>
                <w:szCs w:val="17"/>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cumulative warrant activity is as follows:</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Warrant Shares outstanding</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30"/>
        </w:trPr>
        <w:tc>
          <w:tcPr>
            <w:tcW w:w="4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8"/>
        </w:trPr>
        <w:tc>
          <w:tcPr>
            <w:tcW w:w="4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09"/>
        </w:trPr>
        <w:tc>
          <w:tcPr>
            <w:tcW w:w="4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2023</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881,639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(63,775)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September 30, 2024</w:t>
            </w:r>
          </w:p>
        </w:tc>
        <w:tc>
          <w:tcPr>
            <w:tcW w:w="1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817,864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(1,408,193)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cumulative restricted stock unit activity under the 2025 Equity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RSUs outstanding</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80" w:type="dxa"/>
            <w:vAlign w:val="bottom"/>
          </w:tcPr>
          <w:p>
            <w:pPr>
              <w:spacing w:after="0"/>
              <w:rPr>
                <w:sz w:val="16"/>
                <w:szCs w:val="16"/>
                <w:color w:val="auto"/>
              </w:rPr>
            </w:pPr>
          </w:p>
        </w:tc>
        <w:tc>
          <w:tcPr>
            <w:tcW w:w="15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20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per share</w:t>
            </w: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350,748</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 September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350,748</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F-16</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187"/>
        </w:trPr>
        <w:tc>
          <w:tcPr>
            <w:tcW w:w="5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Land, buildings and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Land, buildings and</w:t>
            </w:r>
          </w:p>
        </w:tc>
        <w:tc>
          <w:tcPr>
            <w:tcW w:w="100" w:type="dxa"/>
            <w:vAlign w:val="bottom"/>
          </w:tcPr>
          <w:p>
            <w:pPr>
              <w:spacing w:after="0"/>
              <w:rPr>
                <w:sz w:val="16"/>
                <w:szCs w:val="16"/>
                <w:color w:val="auto"/>
              </w:rPr>
            </w:pPr>
          </w:p>
        </w:tc>
      </w:tr>
      <w:tr>
        <w:trPr>
          <w:trHeight w:val="238"/>
        </w:trPr>
        <w:tc>
          <w:tcPr>
            <w:tcW w:w="5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2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120" w:type="dxa"/>
            <w:vAlign w:val="bottom"/>
          </w:tcPr>
          <w:p>
            <w:pPr>
              <w:spacing w:after="0"/>
              <w:rPr>
                <w:sz w:val="20"/>
                <w:szCs w:val="20"/>
                <w:color w:val="auto"/>
              </w:rPr>
            </w:pPr>
          </w:p>
        </w:tc>
        <w:tc>
          <w:tcPr>
            <w:tcW w:w="20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leasehold improvements</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land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 building</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4,000,234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1,585,000</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leasehold improvements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3,103,000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 construction in progress</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1,016,098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10,149,332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building</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leasehold improvements</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(221,187)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9,783,777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1,689,607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purchased a 1.64-acre land package in the historic Heritage Center Industrial Park in Oak Ridge, Tennessee, for $1.7 million. The purchase included a 14,000 sq. ft., 2-story building to house the Company’s Nuclear Technology Branch. Depreciation was $94,351 and $10,393 for the years ended September 30,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purchased a 2.75-acre land package in Oak Brook, Illinois, for $3.5 million. The purchase included a 23,537 sq. ft. building to serve as a regional demonstration and office facility to support the development of the Company’s KRONOS MMR™ Microreactor Energy System. Depreciation was $39,625 and nil for the years ended September 30,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RIGHT-OF-USE ASSETS AND LEASE LIABILITIES</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7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1,830,124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1,026,348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1,926,656</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(295,576)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(96,532)</w:t>
            </w: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had two long-term operating leases corresponding to (1) its corporate headquarters located at 10 Times Square, 30th Floor, New York, New York and (2) space being used as a technology demonstration facility in Westchester County, New York. Lease components in the Company’s long-term operating leases are accounted for following the guidance in ASC Topic 842, “Leases” (“ASC 842”), for the capitalization of long-term leases. At September 30, 2025, the lease liability was equal to the present value of the remaining lease payments, discounted using a borrowing rate based on similar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the Company’s leases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1,830,124</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534,128</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281,352</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2,261,414</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1,650,383</w:t>
            </w:r>
          </w:p>
        </w:tc>
      </w:tr>
      <w:tr>
        <w:trPr>
          <w:trHeight w:val="432"/>
        </w:trPr>
        <w:tc>
          <w:tcPr>
            <w:tcW w:w="4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1350"/>
              <w:spacing w:after="0"/>
              <w:rPr>
                <w:sz w:val="20"/>
                <w:szCs w:val="20"/>
                <w:color w:val="auto"/>
              </w:rPr>
            </w:pPr>
            <w:r>
              <w:rPr>
                <w:rFonts w:ascii="Times New Roman" w:cs="Times New Roman" w:eastAsia="Times New Roman" w:hAnsi="Times New Roman"/>
                <w:sz w:val="18"/>
                <w:szCs w:val="18"/>
                <w:color w:val="auto"/>
              </w:rPr>
              <w:t>F-17</w:t>
            </w: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RIGHT-OF-USE ASSETS AND LEASE LIABILITIES (Continued)</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provides details of the Company’s lease expense:</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595,174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236,030</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related to leases is presented below.</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September 30,</w:t>
            </w: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of lease liabilities:</w:t>
            </w: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134,420</w:t>
            </w: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45"/>
        </w:trPr>
        <w:tc>
          <w:tcPr>
            <w:tcW w:w="57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bottom w:val="single" w:sz="8" w:color="CCEEFF"/>
            </w:tcBorders>
          </w:tcPr>
          <w:p>
            <w:pPr>
              <w:spacing w:after="0"/>
              <w:rPr>
                <w:sz w:val="24"/>
                <w:szCs w:val="24"/>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4"/>
              </w:rPr>
              <w:t>11.6%</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5.64</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expected annual minimum lease payments of the Company’s operating lease liabilities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34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626,333</w:t>
            </w:r>
          </w:p>
        </w:tc>
        <w:tc>
          <w:tcPr>
            <w:tcW w:w="11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641,992</w:t>
            </w:r>
          </w:p>
        </w:tc>
        <w:tc>
          <w:tcPr>
            <w:tcW w:w="11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658,041</w:t>
            </w:r>
          </w:p>
        </w:tc>
        <w:tc>
          <w:tcPr>
            <w:tcW w:w="11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674,493</w:t>
            </w:r>
          </w:p>
        </w:tc>
        <w:tc>
          <w:tcPr>
            <w:tcW w:w="1140" w:type="dxa"/>
            <w:vAlign w:val="bottom"/>
          </w:tcPr>
          <w:p>
            <w:pPr>
              <w:spacing w:after="0"/>
              <w:rPr>
                <w:sz w:val="18"/>
                <w:szCs w:val="18"/>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1,142,669</w:t>
            </w:r>
          </w:p>
        </w:tc>
        <w:tc>
          <w:tcPr>
            <w:tcW w:w="1140" w:type="dxa"/>
            <w:vAlign w:val="bottom"/>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 undiscounted</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3,743,528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 for leases in excess of one year</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(947,986)</w:t>
            </w:r>
          </w:p>
        </w:tc>
        <w:tc>
          <w:tcPr>
            <w:tcW w:w="1140" w:type="dxa"/>
            <w:vAlign w:val="bottom"/>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2,795,542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(534,128)</w:t>
            </w:r>
          </w:p>
        </w:tc>
        <w:tc>
          <w:tcPr>
            <w:tcW w:w="1140" w:type="dxa"/>
            <w:vAlign w:val="bottom"/>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 less current portion</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2,261,414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55"/>
        </w:trPr>
        <w:tc>
          <w:tcPr>
            <w:tcW w:w="46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right"/>
              <w:ind w:right="2956"/>
              <w:spacing w:after="0"/>
              <w:rPr>
                <w:sz w:val="20"/>
                <w:szCs w:val="20"/>
                <w:color w:val="auto"/>
              </w:rPr>
            </w:pPr>
            <w:r>
              <w:rPr>
                <w:rFonts w:ascii="Times New Roman" w:cs="Times New Roman" w:eastAsia="Times New Roman" w:hAnsi="Times New Roman"/>
                <w:sz w:val="18"/>
                <w:szCs w:val="18"/>
                <w:color w:val="auto"/>
              </w:rPr>
              <w:t>F-18</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ACQUISITION OF ALIP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21, 2024, the Company acquired a novel annular linear induction pump (“ALIP”) technology used in small nuclear reactor cooling (“ALIP Acquisition”) from noted physicist, research engineer and project manager Carlos O. Maidana, PhD. In connection with the transaction, Dr. Maidana agreed to collaborate with the Company as a consultant on further development of the ALIP technology with a view toward achieving SBIR Phase III Award status.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this transaction, Dr. Maidana assigned to NANO all intellectual property rights associated with the ALIP technology and product, his work on the foregoing grants and the proposal for the SBIR Phase III program. As consideration for the ALIP Acquisition, the Company (i) issued 50,000 shares of Common Stock to Dr. Maidana and (ii) paid Dr. Maidana cash consideration of $50,000. Additionally, the Company agreed to deliver to Dr. Madana an additional (iii) 50,000 shares of Common Stock and (iv) cash consideration of $50,000, contingent upon the successful completion of the SBIR Phase III project prior to specific timetables. The Company anticipated that the completion of the SBIR Phase III project would occur, and therefore had calculated the contingent consideration at the closing price of NANO’s stock on the date of acquisition. The ALIP Acquisition was accounted for as an acquisition of in-process R&amp;D that was fully expensed on the acquisition date as R&amp;D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ALIP Acquisition was recorded at its fair value as of June 21, 2024. The total purchase price was approximately $1.67 million and was comprised of the following:</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Cash (paid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shares (issued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Contingent cash</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Contingent common shares (fair value at closing)</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1" w:lineRule="exact"/>
        <w:rPr>
          <w:sz w:val="20"/>
          <w:szCs w:val="20"/>
          <w:color w:val="auto"/>
        </w:rPr>
      </w:pPr>
    </w:p>
    <w:p>
      <w:pPr>
        <w:ind w:left="1034" w:hanging="1034"/>
        <w:spacing w:after="0"/>
        <w:tabs>
          <w:tab w:leader="none" w:pos="10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2"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786,500</w:t>
      </w:r>
    </w:p>
    <w:p>
      <w:pPr>
        <w:spacing w:after="0" w:line="9" w:lineRule="exact"/>
        <w:rPr>
          <w:rFonts w:ascii="Times New Roman" w:cs="Times New Roman" w:eastAsia="Times New Roman" w:hAnsi="Times New Roman"/>
          <w:sz w:val="18"/>
          <w:szCs w:val="18"/>
          <w:color w:val="auto"/>
        </w:rPr>
      </w:pPr>
    </w:p>
    <w:p>
      <w:pPr>
        <w:ind w:left="10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9"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786,500</w:t>
      </w:r>
    </w:p>
    <w:p>
      <w:pPr>
        <w:spacing w:after="0" w:line="31" w:lineRule="exact"/>
        <w:rPr>
          <w:sz w:val="20"/>
          <w:szCs w:val="20"/>
          <w:color w:val="auto"/>
        </w:rPr>
      </w:pPr>
    </w:p>
    <w:p>
      <w:pPr>
        <w:ind w:left="814" w:hanging="814"/>
        <w:spacing w:after="0"/>
        <w:tabs>
          <w:tab w:leader="none" w:pos="8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683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86" w:space="720"/>
            <w:col w:w="2734"/>
          </w:cols>
          <w:pgMar w:left="320" w:top="684" w:right="33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ACQUISITION OF ALIP TECHNOLOGY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contingent cash and common shares obligation was recorded at its fair value of $836,500 based on the closing price of NANO’s stock on the date of acquisition. At September 30, 2024, the contingent cash and common shares obligation was revalued to its fair value of $770,500 based on the closing price of NANO’s stock on September 30, 2024, which resulted in a revaluation recovery of $66,000. At September 30, 2025, the contingent cash and common shares obligation was revalued to its fair value of $1,978,000 based on the closing price of NANO’s stock on September 30, 2025, which resulted in a revaluation expense of $1,207,500.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INVESTMENTS,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invested $2,000,000 as an equity investment into LIS Technologies Inc. (“LIST”) (which is a related party), as part of its $11.88 million seed funding round. This additional capital into LIST was anticipated to help fuel the development of its proprietary, patented advanced laser enrichment technology.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our investment in LIST, we entered into an agreement with LIST to collaborate and assist in developing LIST’s technologies to secure a fuel supply for our future operations and the wider nuclear energy industry. The parties intend that LIST will provide the Company with enriched UF6 at no cost to be fabricated and sold to customers, with LIST to receive compensation as part of a profit-sharing arrangement to be agreed to between the companies in the future. Through collaboration with LIST, the Company anticipates building supportive facilities around LIST’s enrichment facility, including such facilities as deconversion and fuel fabrication.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leased approximately 7,000 square feet of dedicated space within its Oak Ridge, Tennessee, based nuclear technology facility to LIST to enable the next phase of the revitalization of its proprietary laser-based process. The Company leases this space to LIST for $7,000 per month. The lease became effective on September 2, 2024 and has a term ending on September 1, 2034.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relationship with LIST is considered a related party transaction since certain of the Company’s executive officers and directors, including Jay Jiang Yu and Dr. Tsun Yee Law, also serve as officers and directors for LIST, and James Walker and Jaisun Garcha serve as consultants to LIST. The Company’s investment in LIST was unanimously approved by all of the Company’s disinterested independent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USNC ASSET ACQUISITION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18, 2024, the Company entered into an asset purchase agreement (as amended, the “USNC Agreement”) with Ultra Safe Nuclear Corporation and certain of its subsidiaries (collectively, “USNC”) to acquire select nuclear energy technology assets (the “USNC Assets”) on an as-is, where-is basis, including USNC’s micro modular nuclear reactor business previously marketed as a MMR® Microreactor Energy System, which the Company has renamed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(“KRONOS Business”), and transportable fission power system technology business previously marketed as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Pylon Transportable Reactor Platform, which the Company has renamed “LOKI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(“LOKI Business”). The acquired assets included certain contracts, intellectual property rights, and a demonstration project, free and clear of any liens other than certain specified liabilities of USNC that were assumed, for a total purchase price of $8.5 million in cash through an auction process (“Auction”) conducted pursuant to Section 363 of the U.S. Bankruptcy Code in connection with USNC’s pending Chapter 11 bankruptcy proceedings. On December 18, 2024, the United States Bankruptcy Court for the District of Delaware, the Bankruptcy Court overseeing USNC’s bankruptcy held a hearing where it approved the sale of the USNC Assets to the Company.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2025, we closed the acquisition (the “USNC Closing”) of the USNC Assets related to the KRONOS Business and the LOKI Business from USNC. 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and (iv) the business records of the USNC Assets and related rights. We acquired these assets through two new wholly owned subsidiaries incorporated in Nevada.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USNC Assets also included certain Canadian assets relating to both the KRONOS MMR™ Energy System and certain Canadian intellectual property rights relating to the LOKI MMR™ (the “Canadian Assets”). The Canadian Assets include, among other assets, (i) three contracts with Canadian authorities, including a license application (the “Chalk River License Application”) with the Canadian Nuclear Safety Commission (“CNSC”) associated with a KRONOS MMRTM reactor demonstration project at Chalk River Laboratories located in Ontario, Canada (the “Chalk River Project”), (ii) the equity interests of a Canadian partnership that was believed at the time to hold the Chalk River License Application (the “Canadian Partnership”), and (iii) rights related to the Chalk River Project. The transfer of the Chalk River License Application and certain other of the Canadian Assets (such assets, the “Consent Assets”) required the consent of certain Canadian governmental entities, including the CNSC (the “Canadian Consents”). We established an escrow of $250,000 deposited at the closing securing the Canadian Consents. If the Canadian Consents were not received within 90 days after the closing, we had the right to terminate the acquisition of the Consent Assets, receive the return of $250,000 held in escrow and forfeit our rights to the Consent Assets. Our right to acquire the Consent Assets was established pursuant to an option arrangement with our Chairman and President and his affiliated entities as described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2025, we acquired the USNC Assets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On December 18, 2024, the United States Bankruptcy Court for the District of Delaware, the court overseeing USNC’s bankruptcy, approved the sale of the USNC Assets to us, including the Canadian Assets, which approval included our right to assign our purchase rights to the Consent Assets.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had a limited amount of time to conduct due diligence on the USNC Assets, particularly the Canadian Assets. Moreover, we were made aware at that time that certain Consent Assets (specifically the Canadian Partnership) could be encumbered by liabilities that could not be cleared through USNC’s U.S. bankruptcy process, thus creating a risk to us should we assume such liabilities. To enable our ability to continue diligence of the Consent Assets to ensure we acquired the correct assets and did not assume or become exposed to any unknown liabilities, on the closing date of the USNC Asset acquisition, we assigned our rights to acquire the Consent Assets to Jay Jiang Yu, our founder, President, Secretary and Treasurer, and Chairman of the Board, and certain existing Canadian entities owned or controlled by Mr. Yu (the “Yu Entities”). Accordingly, on January 10, 2025, we entered into an option agreement (“Yu Option Agreement”) with Mr. Yu and Yu Entities, pursuant to which we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our disinterested directors. Given the uncertainties regarding the Consent Assets at that time, we believe this option arrangement was the most efficient and cost-effective structure (particularly since the option was exercisable by us for only nominal consideration) for us to close the bankruptcy sale and secure the right to acquire Consent Assets, while also preserving our ability to progress the KRONOS project in Canada and facilitate the Canadian Consents.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2025, we sought Canadian Consents for the Consent Assets (most notably, the Chalk River License Application). As part of our continuing due diligence, we learned that a USNC affiliate called Global First Power Ltd. (“GFPL”), and not the Canadian Partnership, was in fact the holder of the Chalk River License Application. Further, we were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we determined that the most efficient course of action for our company to continue the Chalk River Project would be for us to acquire GFPL itself and thereby acquire the Chalk River License Application. As a result, on August 14, 2025, The RPWI Liquidating Trust, a Delaware liquidating trust created pursuant to USNC’s plan of liquidation in bankruptcy, GFPL, our company and our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our assumption of an approximately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 On September 2, 2025, the GFPL Purchase Agreement and the transactions contemplated thereby were approved by the Bankruptcy Court, and on October 16, 2025, such transaction was closed. We expect to pay the $0.65 million assumed liability using cash on hand in the near future.</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neither the Yu Entities nor our company formally acquired the Consent Assets, and given our subsequent due diligence and discussions with CNSC following our acquisition of the USNC Assets, we have determined that (i) our acquisition of GFPL provides us with all of the</w:t>
      </w:r>
    </w:p>
    <w:p>
      <w:pPr>
        <w:sectPr>
          <w:pgSz w:w="11900" w:h="16838" w:orient="portrait"/>
          <w:cols w:equalWidth="0" w:num="1">
            <w:col w:w="11240"/>
          </w:cols>
          <w:pgMar w:left="320" w:top="684" w:right="339" w:bottom="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rights and assets we require from USNC to progress the Chalk River Project, (ii) the Consent Assets subject to the Yu Option Agreement are immaterial to our plans and need not be acquired, with the result that we expect to terminate the Yu Option Agreement and (iii) given that the Canadian Consents were not achieved on a timely basis, we intend to seek a return of the $250,000 escrow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USNC ASSET ACQUISITION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consideration paid at closing for the USNC Assets was $8.5 million in cash. The Company accounted for the transaction as an asset acquisition under ASC 805-50, “Business Combinations – Asset Acquisition”, as the acquired set of assets did not meet the definition of a business. The fair value of the identifiable assets was determined using the Historical Transaction Method under the Market Approach.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fair value allocation of the consideration transferred is as follows: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7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Value of Consent Assets (subject to Canadian Consents) held in escrow</w:t>
            </w:r>
          </w:p>
        </w:tc>
        <w:tc>
          <w:tcPr>
            <w:tcW w:w="3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Assumed liabilities related to Designated Contracts (excluding Canadian Contracts)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825,045</w:t>
            </w:r>
          </w:p>
        </w:tc>
        <w:tc>
          <w:tcPr>
            <w:tcW w:w="60" w:type="dxa"/>
            <w:vAlign w:val="bottom"/>
            <w:shd w:val="clear" w:color="auto" w:fill="CCEEFF"/>
          </w:tcPr>
          <w:p>
            <w:pPr>
              <w:spacing w:after="0"/>
              <w:rPr>
                <w:sz w:val="19"/>
                <w:szCs w:val="19"/>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Acquired IPR&amp;D Assets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was attributed to IPR&amp;D assets associated with both the KRONOS Business and the LOKI Business. The acquired IPR&amp;D assets are considered an indefinite-lived intangible asset and will not be amortized until the underlying technologies are placed into service. The Company will test the assets for impairment annually, or more frequently if events or changes in circumstances indicate potential impairment.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provision for income taxes for the years ended September 30, 2025 and 2024 was $0 and $0,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Company’s effective tax rate to statutory rates for the years ended September 30, 2025 and 2024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 adjustments and other</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23"/>
        </w:trPr>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deferred tax assets (liabilities) consist of the following as of September 30, 2025 and 2024: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18,296,092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3,987,674</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3,712,574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885,849</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4,531,093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242,891</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309,253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272,835</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952,156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633,354</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Carryovers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140,699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673,703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252,622</w:t>
            </w:r>
          </w:p>
        </w:tc>
        <w:tc>
          <w:tcPr>
            <w:tcW w:w="80" w:type="dxa"/>
            <w:vAlign w:val="bottom"/>
          </w:tcPr>
          <w:p>
            <w:pPr>
              <w:spacing w:after="0"/>
              <w:rPr>
                <w:sz w:val="19"/>
                <w:szCs w:val="19"/>
                <w:color w:val="auto"/>
              </w:rPr>
            </w:pPr>
          </w:p>
        </w:tc>
      </w:tr>
      <w:tr>
        <w:trPr>
          <w:trHeight w:val="209"/>
        </w:trPr>
        <w:tc>
          <w:tcPr>
            <w:tcW w:w="4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28,615,570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6,275,225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(27,434,239)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(5,675,186)</w:t>
            </w:r>
          </w:p>
        </w:tc>
      </w:tr>
      <w:tr>
        <w:trPr>
          <w:trHeight w:val="210"/>
        </w:trPr>
        <w:tc>
          <w:tcPr>
            <w:tcW w:w="4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1,181,331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(872,237)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(600,039)</w:t>
            </w:r>
          </w:p>
        </w:tc>
      </w:tr>
      <w:tr>
        <w:trPr>
          <w:trHeight w:val="216"/>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IPR&amp;D</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(309,094)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(1,181,331)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(600,039)</w:t>
            </w:r>
          </w:p>
        </w:tc>
      </w:tr>
      <w:tr>
        <w:trPr>
          <w:trHeight w:val="223"/>
        </w:trPr>
        <w:tc>
          <w:tcPr>
            <w:tcW w:w="4900" w:type="dxa"/>
            <w:vAlign w:val="bottom"/>
          </w:tcPr>
          <w:p>
            <w:pPr>
              <w:spacing w:after="0"/>
              <w:rPr>
                <w:sz w:val="19"/>
                <w:szCs w:val="19"/>
                <w:color w:val="auto"/>
              </w:rPr>
            </w:pPr>
          </w:p>
        </w:tc>
        <w:tc>
          <w:tcPr>
            <w:tcW w:w="2080" w:type="dxa"/>
            <w:vAlign w:val="bottom"/>
            <w:gridSpan w:val="2"/>
          </w:tcPr>
          <w:p>
            <w:pPr>
              <w:spacing w:after="0"/>
              <w:rPr>
                <w:sz w:val="19"/>
                <w:szCs w:val="19"/>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0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2024, the Company had total net deferred tax assets of $27,434,239 and $5,675,186, respectively. A valuation allowance is required to reduce deferred tax assets reported if, based on the weight of the evidence, it is more likely than not that some portion or all of the deferred tax assets will not be realized. The ultimate realization of deferred tax assets depends on the generation of future taxable income during those periods in which those temporary differences are deductible.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consideration of all the evidence, both positive and negative, management determined that a 100% valuation allowance was necessary as of September 30, 2025 and 2024 in the amount of $27,434,239 an $5,675,186 , respectively, to reduce the deferred tax assets to the amount that will more likely than not be realized. The increase in the valuation allowance during the years ended September 30, 2025 and 2024 was $21,759,053 and $3,704,016,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subject to limitations, had approximately $48.6 million of federal net operating loss carryforwards for U.S. federal income tax purposes, $61.4 million in net operating loss carryforwards for state income tax purposes and $48.6 million of net operating loss carryforwards for city income tax purposes, to offset future taxable income which never expires but has annual limitations of 80% of the Company’s taxable income. The utilization of the Company’s net operating losses are subject to a U.S. federal limitation due to the “change in ownership provisions” under Section 382 of the Internal Revenue Code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after September 30, 2025 through the date that the consolidated financial statements were issued. During this period, there were no material subsequent events requiring disclosure except as stated as follows: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October 1, 2025 and the date that the consolidated financial statements were issued, 41,450 warrants were exercised to purchase 20,725 Common Stock at an exercise price of $20.00 per share generating gross proceeds of approximately $415,000,238,888 warrants were exercised to purchase 119,444 Common Stock at an exercise price of $17.00 per share generating gross proceeds of approximately $2,030,000, 105,000 stock options were exercised to purchase 105,000 common shares at an exercise price of $3.00 per share generating proceeds of approximately $105,000, and 17,500 RSUs vested but have not been issued as of the date of this Report.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2025, the Company, entered into a Securities Purchase Agreement (the “Purchase Agreement”) with six institutional investors (the “Investors”), pursuant to which the Company agreed to offer and sell 8,490,767 shares (“Shares”) of common stock of the Company, par value $0.0001 per share (the “Common Stock”), in a private placement (the “Private Placement”) for gross proceeds of approximately $400,000,000. Pursuant to the Purchase Agreement, the Company issued and sold the Shares in the Private Placement at a purchase price of $47.11 per share. The Private Placement closed on October 10, 2025. After deducting the placement agent fees and estimated offering expenses payable by the Company, the Company received net proceeds of approximately $378,600,000. The Company intends to use these net proceeds to advance development, construction and regulatory licensing activities</w:t>
      </w:r>
    </w:p>
    <w:p>
      <w:pPr>
        <w:spacing w:after="0" w:line="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its lead micro nuclear reactor program,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continue development of its other micro reactor projects and other nuclear energy related business lines, pursue potential strategic acquisitions, and for general corporate purposes. Pursuant to the Purchase Agreement the Company included a resale prospectus in the next amendment to its registration statement on Form S-3 initially filed with the Securities and Exchange Commission (the “SEC”) on July 25, 2025 (File No.: 333-288982) covering the resale of the Shares (the “Resale Registration Statement”) which was amended and filed on October 22, 2025 (the date of filing, the “Filing Date”), and with the Resale Registration Statement to be effective within 30 days following the later of (i) the Filing Date, and (ii) the second business day after the date on which the United States Federal government shutdown has concluded and the Securities and Exchange Commission has reopened for operations, if it is not subject to review by the SEC. The Company will have an additional 30 days to cause the Resale Registration Statement to become effective, if it is subject to full review by the SEC. The Purchase Agreement includes standard representations, warranties and covenants of the Company and Investors, including a restriction on future issuances of the Company’s capital stock or filing a registration statement or any amendment or supplement thereto (subject to certain exceptions) for a period of thirty (30) days following effectiveness of the Resale Registration Statement. Titan Partners Group LLC, a division of American Capital Partners, LLC, acted as placement agent for the Private Placement (the “Placement Agent”) under a placement agency agreement with the Company (“Placement Agency Agreement”), pursuant to which it received a cash fee equal to 5.0% of the gross proceeds received by the Company in the Private Placement, and reimbursement of $200,000 in legal expenses.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27305</wp:posOffset>
            </wp:positionV>
            <wp:extent cx="66433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320" w:space="720"/>
            <w:col w:w="6200"/>
          </w:cols>
          <w:pgMar w:left="320" w:top="684" w:right="339" w:bottom="1440" w:gutter="0" w:footer="0" w:header="0"/>
          <w:type w:val="continuous"/>
        </w:sect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43">
        <w:r>
          <w:rPr>
            <w:rFonts w:ascii="Times New Roman" w:cs="Times New Roman" w:eastAsia="Times New Roman" w:hAnsi="Times New Roman"/>
            <w:sz w:val="17"/>
            <w:szCs w:val="17"/>
            <w:u w:val="single" w:color="auto"/>
            <w:color w:val="0000EE"/>
          </w:rPr>
          <w:t>Articles of Incorporation of the Registrant (1)</w:t>
        </w:r>
      </w:hyperlink>
    </w:p>
    <w:p>
      <w:pPr>
        <w:spacing w:after="0" w:line="23"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44">
        <w:r>
          <w:rPr>
            <w:rFonts w:ascii="Times New Roman" w:cs="Times New Roman" w:eastAsia="Times New Roman" w:hAnsi="Times New Roman"/>
            <w:sz w:val="17"/>
            <w:szCs w:val="17"/>
            <w:u w:val="single" w:color="auto"/>
            <w:color w:val="0000EE"/>
          </w:rPr>
          <w:t>Certificate of Amendment to Articles of Incorporation, dated March 4, 2024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45">
        <w:r>
          <w:rPr>
            <w:rFonts w:ascii="Times New Roman" w:cs="Times New Roman" w:eastAsia="Times New Roman" w:hAnsi="Times New Roman"/>
            <w:sz w:val="18"/>
            <w:szCs w:val="18"/>
            <w:u w:val="single" w:color="auto"/>
            <w:color w:val="0000EE"/>
          </w:rPr>
          <w:t>Amended and Restated Bylaws of the Registrant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46">
        <w:r>
          <w:rPr>
            <w:rFonts w:ascii="Times New Roman" w:cs="Times New Roman" w:eastAsia="Times New Roman" w:hAnsi="Times New Roman"/>
            <w:sz w:val="17"/>
            <w:szCs w:val="17"/>
            <w:u w:val="single" w:color="auto"/>
            <w:color w:val="0000EE"/>
          </w:rPr>
          <w:t>Specimen Common Stock Certificate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47">
        <w:r>
          <w:rPr>
            <w:rFonts w:ascii="Times New Roman" w:cs="Times New Roman" w:eastAsia="Times New Roman" w:hAnsi="Times New Roman"/>
            <w:sz w:val="17"/>
            <w:szCs w:val="17"/>
            <w:u w:val="single" w:color="auto"/>
            <w:color w:val="0000EE"/>
          </w:rPr>
          <w:t>Underwriter’s Warrant, dated May 10, 2024 (2)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48">
        <w:r>
          <w:rPr>
            <w:rFonts w:ascii="Times New Roman" w:cs="Times New Roman" w:eastAsia="Times New Roman" w:hAnsi="Times New Roman"/>
            <w:sz w:val="18"/>
            <w:szCs w:val="18"/>
            <w:u w:val="single" w:color="auto"/>
            <w:color w:val="0000EE"/>
          </w:rPr>
          <w:t>Underwriter’s Warrant, dated July 15, 2024 (3)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49">
        <w:r>
          <w:rPr>
            <w:rFonts w:ascii="Times New Roman" w:cs="Times New Roman" w:eastAsia="Times New Roman" w:hAnsi="Times New Roman"/>
            <w:sz w:val="17"/>
            <w:szCs w:val="17"/>
            <w:u w:val="single" w:color="auto"/>
            <w:color w:val="0000EE"/>
          </w:rPr>
          <w:t>Underwriter’s Warrant, dated October 25, 2024 (5)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50">
        <w:r>
          <w:rPr>
            <w:rFonts w:ascii="Times New Roman" w:cs="Times New Roman" w:eastAsia="Times New Roman" w:hAnsi="Times New Roman"/>
            <w:sz w:val="17"/>
            <w:szCs w:val="17"/>
            <w:u w:val="single" w:color="auto"/>
            <w:color w:val="0000EE"/>
          </w:rPr>
          <w:t>Warrant Agent Agreement, dated July 11, 2024, by and between the Company and VStock Transfer, LLC (3)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51">
        <w:r>
          <w:rPr>
            <w:rFonts w:ascii="Times New Roman" w:cs="Times New Roman" w:eastAsia="Times New Roman" w:hAnsi="Times New Roman"/>
            <w:sz w:val="17"/>
            <w:szCs w:val="17"/>
            <w:u w:val="single" w:color="auto"/>
            <w:color w:val="0000EE"/>
          </w:rPr>
          <w:t>2024 B Warrant Agent Agreement, dated October 23, 2024, by and between the Company and VStock Transfer, LLC (5)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52">
        <w:r>
          <w:rPr>
            <w:rFonts w:ascii="Times New Roman" w:cs="Times New Roman" w:eastAsia="Times New Roman" w:hAnsi="Times New Roman"/>
            <w:sz w:val="17"/>
            <w:szCs w:val="17"/>
            <w:u w:val="single" w:color="auto"/>
            <w:color w:val="0000EE"/>
          </w:rPr>
          <w:t>Form of Common Stock Purchase Warrant, dated November 27, 2024, between the Company and the Investors (7)</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53">
        <w:r>
          <w:rPr>
            <w:rFonts w:ascii="Times New Roman" w:cs="Times New Roman" w:eastAsia="Times New Roman" w:hAnsi="Times New Roman"/>
            <w:sz w:val="17"/>
            <w:szCs w:val="17"/>
            <w:u w:val="single" w:color="auto"/>
            <w:color w:val="0000EE"/>
          </w:rPr>
          <w:t>Consulting Agreement dated February 8, 2022, by and between Registrant and Chief Executive Officer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54">
        <w:r>
          <w:rPr>
            <w:rFonts w:ascii="Times New Roman" w:cs="Times New Roman" w:eastAsia="Times New Roman" w:hAnsi="Times New Roman"/>
            <w:sz w:val="17"/>
            <w:szCs w:val="17"/>
            <w:u w:val="single" w:color="auto"/>
            <w:color w:val="0000EE"/>
          </w:rPr>
          <w:t>Consulting Agreement dated February 8, 2022, by and between Registrant and Chief Financial Officer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55">
        <w:r>
          <w:rPr>
            <w:rFonts w:ascii="Times New Roman" w:cs="Times New Roman" w:eastAsia="Times New Roman" w:hAnsi="Times New Roman"/>
            <w:sz w:val="17"/>
            <w:szCs w:val="17"/>
            <w:u w:val="single" w:color="auto"/>
            <w:color w:val="0000EE"/>
          </w:rPr>
          <w:t>Employment Agreement, dated October 17, 2024 by and between the Registrant and Jay Jiang Yu (4)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56">
        <w:r>
          <w:rPr>
            <w:rFonts w:ascii="Times New Roman" w:cs="Times New Roman" w:eastAsia="Times New Roman" w:hAnsi="Times New Roman"/>
            <w:sz w:val="17"/>
            <w:szCs w:val="17"/>
            <w:u w:val="single" w:color="auto"/>
            <w:color w:val="0000EE"/>
          </w:rPr>
          <w:t>Independent Director Agreement between Registrant and Dr. Tsun Yee Law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57">
        <w:r>
          <w:rPr>
            <w:rFonts w:ascii="Times New Roman" w:cs="Times New Roman" w:eastAsia="Times New Roman" w:hAnsi="Times New Roman"/>
            <w:sz w:val="18"/>
            <w:szCs w:val="18"/>
            <w:u w:val="single" w:color="auto"/>
            <w:color w:val="0000EE"/>
          </w:rPr>
          <w:t>Independent Director Agreement between Registrant and Diane Hare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58">
        <w:r>
          <w:rPr>
            <w:rFonts w:ascii="Times New Roman" w:cs="Times New Roman" w:eastAsia="Times New Roman" w:hAnsi="Times New Roman"/>
            <w:sz w:val="17"/>
            <w:szCs w:val="17"/>
            <w:u w:val="single" w:color="auto"/>
            <w:color w:val="0000EE"/>
          </w:rPr>
          <w:t>Independent Director Agreement between Registrant and Dr. Kenny Yu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59">
        <w:r>
          <w:rPr>
            <w:rFonts w:ascii="Times New Roman" w:cs="Times New Roman" w:eastAsia="Times New Roman" w:hAnsi="Times New Roman"/>
            <w:sz w:val="17"/>
            <w:szCs w:val="17"/>
            <w:u w:val="single" w:color="auto"/>
            <w:color w:val="0000EE"/>
          </w:rPr>
          <w:t>2023 Stock Option Plan #1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60">
        <w:r>
          <w:rPr>
            <w:rFonts w:ascii="Times New Roman" w:cs="Times New Roman" w:eastAsia="Times New Roman" w:hAnsi="Times New Roman"/>
            <w:sz w:val="17"/>
            <w:szCs w:val="17"/>
            <w:u w:val="single" w:color="auto"/>
            <w:color w:val="0000EE"/>
          </w:rPr>
          <w:t>Form of 2023 Stock Option Agreement under 2023 Stock Option Plan #1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1">
        <w:r>
          <w:rPr>
            <w:rFonts w:ascii="Times New Roman" w:cs="Times New Roman" w:eastAsia="Times New Roman" w:hAnsi="Times New Roman"/>
            <w:sz w:val="17"/>
            <w:szCs w:val="17"/>
            <w:u w:val="single" w:color="auto"/>
            <w:color w:val="0000EE"/>
          </w:rPr>
          <w:t>2023 Stock Option Plan #2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2">
        <w:r>
          <w:rPr>
            <w:rFonts w:ascii="Times New Roman" w:cs="Times New Roman" w:eastAsia="Times New Roman" w:hAnsi="Times New Roman"/>
            <w:sz w:val="17"/>
            <w:szCs w:val="17"/>
            <w:u w:val="single" w:color="auto"/>
            <w:color w:val="0000EE"/>
          </w:rPr>
          <w:t>Form of 2023 Stock Option Agreement under 2023 Stock Option Plan #2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3">
        <w:r>
          <w:rPr>
            <w:rFonts w:ascii="Times New Roman" w:cs="Times New Roman" w:eastAsia="Times New Roman" w:hAnsi="Times New Roman"/>
            <w:sz w:val="17"/>
            <w:szCs w:val="17"/>
            <w:u w:val="single" w:color="auto"/>
            <w:color w:val="0000EE"/>
          </w:rPr>
          <w:t>Services Agreement, dated July 29, 2024, by and between the Registrant and Cambridge AtomWorks (2024) Limited (6)+^</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4">
        <w:r>
          <w:rPr>
            <w:rFonts w:ascii="Times New Roman" w:cs="Times New Roman" w:eastAsia="Times New Roman" w:hAnsi="Times New Roman"/>
            <w:sz w:val="17"/>
            <w:szCs w:val="17"/>
            <w:u w:val="single" w:color="auto"/>
            <w:color w:val="0000EE"/>
          </w:rPr>
          <w:t>Memorandum of Understanding dated March 30, 2023 by and between HALEU Energy Fuel Inc. and Centrus Energy Corp.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5">
        <w:r>
          <w:rPr>
            <w:rFonts w:ascii="Times New Roman" w:cs="Times New Roman" w:eastAsia="Times New Roman" w:hAnsi="Times New Roman"/>
            <w:sz w:val="17"/>
            <w:szCs w:val="17"/>
            <w:u w:val="single" w:color="auto"/>
            <w:color w:val="0000EE"/>
          </w:rPr>
          <w:t>Form of Consulting Agreement by and between Registrant and each Executive Advisory Board Member (1)^</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66">
        <w:r>
          <w:rPr>
            <w:rFonts w:ascii="Times New Roman" w:cs="Times New Roman" w:eastAsia="Times New Roman" w:hAnsi="Times New Roman"/>
            <w:sz w:val="18"/>
            <w:szCs w:val="18"/>
            <w:u w:val="single" w:color="auto"/>
            <w:color w:val="0000EE"/>
          </w:rPr>
          <w:t>Strategic Partnership Project Agreement No. 23SP817 and its amendment dated February 14, 2023 and December 6, 2023, respectively, by and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between the Registrant and Battelle Energy Alliance, LLC (1)+^</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67">
        <w:r>
          <w:rPr>
            <w:rFonts w:ascii="Times New Roman" w:cs="Times New Roman" w:eastAsia="Times New Roman" w:hAnsi="Times New Roman"/>
            <w:sz w:val="17"/>
            <w:szCs w:val="17"/>
            <w:u w:val="single" w:color="auto"/>
            <w:color w:val="0000EE"/>
          </w:rPr>
          <w:t>Services Agreement dated January 19, 2024, by and between the Registrant and Nuclear Education and Engineering Consulting LLC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68">
        <w:r>
          <w:rPr>
            <w:rFonts w:ascii="Times New Roman" w:cs="Times New Roman" w:eastAsia="Times New Roman" w:hAnsi="Times New Roman"/>
            <w:sz w:val="17"/>
            <w:szCs w:val="17"/>
            <w:u w:val="single" w:color="auto"/>
            <w:color w:val="0000EE"/>
          </w:rPr>
          <w:t>Lease Agreement dated March 7, 2024, by and between the Registrant and Charney Management LLC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69">
        <w:r>
          <w:rPr>
            <w:rFonts w:ascii="Times New Roman" w:cs="Times New Roman" w:eastAsia="Times New Roman" w:hAnsi="Times New Roman"/>
            <w:sz w:val="17"/>
            <w:szCs w:val="17"/>
            <w:u w:val="single" w:color="auto"/>
            <w:color w:val="0000EE"/>
          </w:rPr>
          <w:t>Exclusive Patent License Agreement, dated April 3, 2024, by and between the Registrant and Battelle Energy Alliance, LLC (1)+^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0">
        <w:r>
          <w:rPr>
            <w:rFonts w:ascii="Times New Roman" w:cs="Times New Roman" w:eastAsia="Times New Roman" w:hAnsi="Times New Roman"/>
            <w:sz w:val="17"/>
            <w:szCs w:val="17"/>
            <w:u w:val="single" w:color="auto"/>
            <w:color w:val="0000EE"/>
          </w:rPr>
          <w:t>Partnership Agreement, dated November 4, 2024, between the Registrant and LIS Technologies Inc. (17)</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1">
        <w:r>
          <w:rPr>
            <w:rFonts w:ascii="Times New Roman" w:cs="Times New Roman" w:eastAsia="Times New Roman" w:hAnsi="Times New Roman"/>
            <w:sz w:val="17"/>
            <w:szCs w:val="17"/>
            <w:u w:val="single" w:color="auto"/>
            <w:color w:val="0000EE"/>
          </w:rPr>
          <w:t>Amendment No.1 to Partnership Agreement, dated November 5, 2024, between the Registrant and LIS Technologies Inc.(17)</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2">
        <w:r>
          <w:rPr>
            <w:rFonts w:ascii="Times New Roman" w:cs="Times New Roman" w:eastAsia="Times New Roman" w:hAnsi="Times New Roman"/>
            <w:sz w:val="18"/>
            <w:szCs w:val="18"/>
            <w:u w:val="single" w:color="auto"/>
            <w:color w:val="0000EE"/>
          </w:rPr>
          <w:t>Asset Purchase Agreement dated December 18, 2024 by and among the Registrant and Ultra Safe Nuclear Corporation and certain of its</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subsidiaries (8)^^</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3">
        <w:r>
          <w:rPr>
            <w:rFonts w:ascii="Times New Roman" w:cs="Times New Roman" w:eastAsia="Times New Roman" w:hAnsi="Times New Roman"/>
            <w:sz w:val="17"/>
            <w:szCs w:val="17"/>
            <w:u w:val="single" w:color="auto"/>
            <w:color w:val="0000EE"/>
          </w:rPr>
          <w:t>Form of Securities Purchase Agreement, dated November 24, 2024, between the Registrant and the Investors (7)</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4">
        <w:r>
          <w:rPr>
            <w:rFonts w:ascii="Times New Roman" w:cs="Times New Roman" w:eastAsia="Times New Roman" w:hAnsi="Times New Roman"/>
            <w:sz w:val="18"/>
            <w:szCs w:val="18"/>
            <w:u w:val="single" w:color="auto"/>
            <w:color w:val="0000EE"/>
          </w:rPr>
          <w:t>Form of Registration Rights Agreement, dated November 24, 2024, between the Registrant and the Investors (7)</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5">
        <w:r>
          <w:rPr>
            <w:rFonts w:ascii="Times New Roman" w:cs="Times New Roman" w:eastAsia="Times New Roman" w:hAnsi="Times New Roman"/>
            <w:sz w:val="18"/>
            <w:szCs w:val="18"/>
            <w:u w:val="single" w:color="auto"/>
            <w:color w:val="0000EE"/>
          </w:rPr>
          <w:t>First Amendment to Asset Purchase Agreement, dated January 10, 2025 by and among the Registrant and Ultra Safe Nuclear Corporation and</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certain of its subsidiaries (9)^^ +</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76">
        <w:r>
          <w:rPr>
            <w:rFonts w:ascii="Times New Roman" w:cs="Times New Roman" w:eastAsia="Times New Roman" w:hAnsi="Times New Roman"/>
            <w:sz w:val="17"/>
            <w:szCs w:val="17"/>
            <w:u w:val="single" w:color="auto"/>
            <w:color w:val="0000EE"/>
          </w:rPr>
          <w:t>Option Agreement, dated as of January 10, 2025, by and among Yu, the Yu Entities and the Registrant (9)+</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77">
        <w:r>
          <w:rPr>
            <w:rFonts w:ascii="Times New Roman" w:cs="Times New Roman" w:eastAsia="Times New Roman" w:hAnsi="Times New Roman"/>
            <w:sz w:val="17"/>
            <w:szCs w:val="17"/>
            <w:u w:val="single" w:color="auto"/>
            <w:color w:val="0000EE"/>
          </w:rPr>
          <w:t>Employment Agreement, dated March 6, 2025, by and between the Registrant and Dr. Florent Heidet (10)</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78">
        <w:r>
          <w:rPr>
            <w:rFonts w:ascii="Times New Roman" w:cs="Times New Roman" w:eastAsia="Times New Roman" w:hAnsi="Times New Roman"/>
            <w:sz w:val="17"/>
            <w:szCs w:val="17"/>
            <w:u w:val="single" w:color="auto"/>
            <w:color w:val="0000EE"/>
          </w:rPr>
          <w:t>Stock Option Agreement, dated March 6, 2025, by and between the Registrant and Dr. Florent Heidet (10)</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79">
        <w:r>
          <w:rPr>
            <w:rFonts w:ascii="Times New Roman" w:cs="Times New Roman" w:eastAsia="Times New Roman" w:hAnsi="Times New Roman"/>
            <w:sz w:val="17"/>
            <w:szCs w:val="17"/>
            <w:u w:val="single" w:color="auto"/>
            <w:color w:val="0000EE"/>
          </w:rPr>
          <w:t>Nano Nuclear Energy Inc. 2025 Equity Incentive Plan (11)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79">
        <w:r>
          <w:rPr>
            <w:rFonts w:ascii="Times New Roman" w:cs="Times New Roman" w:eastAsia="Times New Roman" w:hAnsi="Times New Roman"/>
            <w:sz w:val="17"/>
            <w:szCs w:val="17"/>
            <w:u w:val="single" w:color="auto"/>
            <w:color w:val="0000EE"/>
          </w:rPr>
          <w:t>Form of Restricted Stock Unit Award Agreement (11)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0">
        <w:r>
          <w:rPr>
            <w:rFonts w:ascii="Times New Roman" w:cs="Times New Roman" w:eastAsia="Times New Roman" w:hAnsi="Times New Roman"/>
            <w:sz w:val="18"/>
            <w:szCs w:val="18"/>
            <w:u w:val="single" w:color="auto"/>
            <w:color w:val="0000EE"/>
          </w:rPr>
          <w:t>Form of Securities Purchase Agreement, dated May 26, 2025, by and between the Registrant and the Investors (12)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1">
        <w:r>
          <w:rPr>
            <w:rFonts w:ascii="Times New Roman" w:cs="Times New Roman" w:eastAsia="Times New Roman" w:hAnsi="Times New Roman"/>
            <w:sz w:val="17"/>
            <w:szCs w:val="17"/>
            <w:u w:val="single" w:color="auto"/>
            <w:color w:val="0000EE"/>
          </w:rPr>
          <w:t>Independent Director Agreement, dated June 1, 2025, by and between the Registrant and Dr. Seth Berl (13)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82">
        <w:r>
          <w:rPr>
            <w:rFonts w:ascii="Times New Roman" w:cs="Times New Roman" w:eastAsia="Times New Roman" w:hAnsi="Times New Roman"/>
            <w:sz w:val="18"/>
            <w:szCs w:val="18"/>
            <w:u w:val="single" w:color="auto"/>
            <w:color w:val="0000EE"/>
          </w:rPr>
          <w:t>Sales Agreement, dated July 25, 2025, by and among the Registrant, TD Securities (USA) LLC, UBS Securities LLC and Piper Sandler &amp; Co.^</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(14)</w:t>
        </w:r>
      </w:hyperlink>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83">
        <w:r>
          <w:rPr>
            <w:rFonts w:ascii="Times New Roman" w:cs="Times New Roman" w:eastAsia="Times New Roman" w:hAnsi="Times New Roman"/>
            <w:sz w:val="18"/>
            <w:szCs w:val="18"/>
            <w:u w:val="single" w:color="auto"/>
            <w:color w:val="0000EE"/>
          </w:rPr>
          <w:t>Sponsored Research Agreement, dated April 8, 2022, by and between The Board of Trustees of The University of Illinois on behalf of The</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University of Illinois at Urbana-Champaign (UIUC) and Ultra Safe Nuclear Corporation (USNC)^^^ (14)</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84">
        <w:r>
          <w:rPr>
            <w:rFonts w:ascii="Times New Roman" w:cs="Times New Roman" w:eastAsia="Times New Roman" w:hAnsi="Times New Roman"/>
            <w:sz w:val="18"/>
            <w:szCs w:val="18"/>
            <w:u w:val="single" w:color="auto"/>
            <w:color w:val="0000EE"/>
          </w:rPr>
          <w:t>Amendment No. 1 to Sponsored Research Agreement dated January 9, 2023, by and between UIUC and USNC (14)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85">
        <w:r>
          <w:rPr>
            <w:rFonts w:ascii="Times New Roman" w:cs="Times New Roman" w:eastAsia="Times New Roman" w:hAnsi="Times New Roman"/>
            <w:sz w:val="17"/>
            <w:szCs w:val="17"/>
            <w:u w:val="single" w:color="auto"/>
            <w:color w:val="0000EE"/>
          </w:rPr>
          <w:t>Amendment No. 2 to Sponsored Research Agreement dated March 29, 2025, by and between UIUC and the Registrant ^ (14)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86">
        <w:r>
          <w:rPr>
            <w:rFonts w:ascii="Times New Roman" w:cs="Times New Roman" w:eastAsia="Times New Roman" w:hAnsi="Times New Roman"/>
            <w:sz w:val="17"/>
            <w:szCs w:val="17"/>
            <w:u w:val="single" w:color="auto"/>
            <w:color w:val="0000EE"/>
          </w:rPr>
          <w:t>Purchase Agreement, dated as of August 14, 2025, by and among the Liquidating Trust, GFPL, the Registrant and KRONOS MMR. (15)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87">
        <w:r>
          <w:rPr>
            <w:rFonts w:ascii="Times New Roman" w:cs="Times New Roman" w:eastAsia="Times New Roman" w:hAnsi="Times New Roman"/>
            <w:sz w:val="18"/>
            <w:szCs w:val="18"/>
            <w:u w:val="single" w:color="auto"/>
            <w:color w:val="0000EE"/>
          </w:rPr>
          <w:t>Form of Securities Purchase Agreement, dated October 7, 2025, by and between the Registrant and the Investors (16)</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188">
        <w:r>
          <w:rPr>
            <w:rFonts w:ascii="Times New Roman" w:cs="Times New Roman" w:eastAsia="Times New Roman" w:hAnsi="Times New Roman"/>
            <w:sz w:val="17"/>
            <w:szCs w:val="17"/>
            <w:u w:val="single" w:color="auto"/>
            <w:color w:val="0000EE"/>
          </w:rPr>
          <w:t>Amended and Restated Code of Business Conduct and Ethics (adopted December 27, 2024) (17)</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89">
        <w:r>
          <w:rPr>
            <w:rFonts w:ascii="Times New Roman" w:cs="Times New Roman" w:eastAsia="Times New Roman" w:hAnsi="Times New Roman"/>
            <w:sz w:val="17"/>
            <w:szCs w:val="17"/>
            <w:u w:val="single" w:color="auto"/>
            <w:color w:val="0000EE"/>
          </w:rPr>
          <w:t>Amended and Restated Insider Trading Policy (adopted December 27, 2024) (17)</w:t>
        </w:r>
      </w:hyperlink>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List of Subsidiaries*</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WithumSmith+Brown, PC*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42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and Rule 15d-14(a) under the Securities Exchange Act of 1934, as</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460" w:type="dxa"/>
            <w:vAlign w:val="bottom"/>
            <w:gridSpan w:val="2"/>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 of 1934, as</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460" w:type="dxa"/>
            <w:vAlign w:val="bottom"/>
            <w:gridSpan w:val="2"/>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18 U.S.C. 1350, as adopted pursuant to Section 906 of the Sarbanes-Oxley Act of</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2002**</w:t>
            </w:r>
          </w:p>
        </w:tc>
        <w:tc>
          <w:tcPr>
            <w:tcW w:w="15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18 U.S.C. 1350, as adopted pursuant to Section 906 of the Sarbanes-Oxley Act of</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2002**</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Executive Compensation Clawback Policy (1)</w:t>
              </w:r>
            </w:hyperlink>
          </w:p>
        </w:tc>
        <w:tc>
          <w:tcPr>
            <w:tcW w:w="7100" w:type="dxa"/>
            <w:vAlign w:val="bottom"/>
            <w:gridSpan w:val="4"/>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Audit Committee Charter (1)</w:t>
              </w:r>
            </w:hyperlink>
          </w:p>
        </w:tc>
        <w:tc>
          <w:tcPr>
            <w:tcW w:w="8340" w:type="dxa"/>
            <w:vAlign w:val="bottom"/>
            <w:gridSpan w:val="6"/>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7"/>
                <w:szCs w:val="17"/>
                <w:color w:val="auto"/>
              </w:rPr>
            </w:pPr>
          </w:p>
        </w:tc>
        <w:tc>
          <w:tcPr>
            <w:tcW w:w="10440" w:type="dxa"/>
            <w:vAlign w:val="bottom"/>
            <w:gridSpan w:val="9"/>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Compensation Committee Charter (1)</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Nominating and Corporate Governance Committee Charter (1)</w:t>
              </w:r>
            </w:hyperlink>
          </w:p>
        </w:tc>
        <w:tc>
          <w:tcPr>
            <w:tcW w:w="5900" w:type="dxa"/>
            <w:vAlign w:val="bottom"/>
            <w:gridSpan w:val="3"/>
          </w:tcPr>
          <w:p>
            <w:pPr>
              <w:spacing w:after="0"/>
              <w:rPr>
                <w:sz w:val="17"/>
                <w:szCs w:val="17"/>
                <w:color w:val="auto"/>
              </w:rPr>
            </w:pPr>
          </w:p>
        </w:tc>
      </w:t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 INS</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as Inline XBRL document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on Form S-1 (File No. 333-278076), filed with the SEC on May 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May 13,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July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October 18,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October 25,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on Form S-1 (File No. 333-282750), filed with the SEC on October 21,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November 27,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December 26,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January 14,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March 12,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Annex A to the Registrant’s Definitive Proxy Statement on Schedule 14A, filed with the SEC on February 28,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May 29,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June 5,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on Form S-1 (File No. 333-288982), filed with the SEC on September 9,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August 20,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with the SEC on October 10,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Annual Report on Form 10-K for the fiscal year ended September 30, 2024, filed with the SEC on December 30, 2024.</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on Form S-1 (File No. 333- 284282), filed with the SEC on January 14, 2025.</w:t>
      </w:r>
    </w:p>
    <w:p>
      <w:pPr>
        <w:spacing w:after="0" w:line="207" w:lineRule="exact"/>
        <w:rPr>
          <w:sz w:val="20"/>
          <w:szCs w:val="20"/>
          <w:color w:val="auto"/>
        </w:rPr>
      </w:pPr>
    </w:p>
    <w:p>
      <w:pPr>
        <w:ind w:right="20" w:firstLine="8"/>
        <w:spacing w:after="0" w:line="282" w:lineRule="auto"/>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Regulations S-K because they are not material and are the type that the registrant treats as private or confidential. The Registrant hereby agrees to furnish a copy of any omitted portion to the SEC upon request.</w:t>
      </w:r>
    </w:p>
    <w:p>
      <w:pPr>
        <w:spacing w:after="0" w:line="162" w:lineRule="exact"/>
        <w:rPr>
          <w:sz w:val="20"/>
          <w:szCs w:val="20"/>
          <w:color w:val="auto"/>
        </w:rPr>
      </w:pPr>
    </w:p>
    <w:p>
      <w:pPr>
        <w:ind w:firstLine="8"/>
        <w:spacing w:after="0" w:line="282" w:lineRule="auto"/>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Item 601(a)(6) of Regulations S-K. The Company hereby agrees to furnish a copy of any omitted portion to the SEC upon request.</w:t>
      </w:r>
    </w:p>
    <w:p>
      <w:pPr>
        <w:spacing w:after="0" w:line="162" w:lineRule="exact"/>
        <w:rPr>
          <w:sz w:val="20"/>
          <w:szCs w:val="20"/>
          <w:color w:val="auto"/>
        </w:rPr>
      </w:pPr>
    </w:p>
    <w:p>
      <w:pPr>
        <w:jc w:val="center"/>
        <w:ind w:left="5540" w:right="640" w:hanging="5532"/>
        <w:spacing w:after="0" w:line="532" w:lineRule="auto"/>
        <w:tabs>
          <w:tab w:leader="none" w:pos="2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601(a)(5) of Regulation S-K, certain schedules or similar attachments to this exhibit have been omitted from this filing.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December 18, 2025</w:t>
      </w:r>
      <w:r>
        <w:rPr>
          <w:sz w:val="20"/>
          <w:szCs w:val="20"/>
          <w:color w:val="auto"/>
        </w:rPr>
        <w:tab/>
      </w:r>
      <w:r>
        <w:rPr>
          <w:rFonts w:ascii="Times New Roman" w:cs="Times New Roman" w:eastAsia="Times New Roman" w:hAnsi="Times New Roman"/>
          <w:sz w:val="17"/>
          <w:szCs w:val="17"/>
          <w:b w:val="1"/>
          <w:bCs w:val="1"/>
          <w:color w:val="auto"/>
        </w:rPr>
        <w:t>NANO NUCLEAR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Walker</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Jay Jiang Yu</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President</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Jay Jiang Yu</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Walker</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Walker</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Jaisun Garcha</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Jaisun Garcha</w:t>
            </w:r>
          </w:p>
        </w:tc>
        <w:tc>
          <w:tcPr>
            <w:tcW w:w="2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Tsun Yee Law</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Dr. Tsun Yee Law</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Diane Hare</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Diane Hare</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Kenny Yu</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Dr. Kenny Yu</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81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List of Subsidiaries of Nano Nuclear Energy Inc.</w:t>
            </w:r>
          </w:p>
        </w:tc>
      </w:tr>
      <w:tr>
        <w:trPr>
          <w:trHeight w:val="43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 Jurisdiction of Incorporation</w:t>
            </w: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HALEU Energy Fuel Inc.</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Uranium Inc.</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Fuel Transportation Inc.</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Nano Nuclear Space Inc.</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Kronos MMR Inc.</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LOKI MMR Inc.</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True North Nuclear Ltd.</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432"/>
        </w:trPr>
        <w:tc>
          <w:tcPr>
            <w:tcW w:w="3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S-1 (File No. 333-284282), the Registration Statement on Form S-3 (File No. 333-287886) and the Registration Statements on Form S-8 (File Nos. 333-287562 and 333-284497) of Nano Nuclear Energy Inc. of our report dated December 18, 2025, relating to the consolidated financial statements of Nano Nuclear Energy Inc., included in this Annual Report on Form 10-K of Nano Nuclear Energy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Walker, hereby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Nano Nuclear Energy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December 18,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Walker</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Walker</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Jaisun Garcha, hereby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Nano Nuclear Energy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December 18,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Jaisun Garcha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Jaisun Garcha</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Nano Nuclear Energy Inc. (the “Company”) on Form 10-K for the fiscal year ended September 30, 2025, as filed with the Securities and Exchange Commission on the date hereof (the “Report”), James Walker,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Walker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Nano Nuclear Energy Inc. (the “Company”) on Form 10-K for the fiscal year ended September 30, 2025, as filed with the Securities and Exchange Commission on the date hereof (the “Report”), Jaisun Garcha,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Jaisun Garcha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3">
    <w:nsid w:val="3006C83E"/>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Roman"/>
      <w:start w:val="30"/>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90"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143" Type="http://schemas.openxmlformats.org/officeDocument/2006/relationships/hyperlink" Target="https://www.sec.gov/Archives/edgar/data/1923891/000149315224010521/ex3-1.htm" TargetMode="External"/><Relationship Id="rId144" Type="http://schemas.openxmlformats.org/officeDocument/2006/relationships/hyperlink" Target="https://www.sec.gov/Archives/edgar/data/1923891/000149315224010521/ex3-2.htm" TargetMode="External"/><Relationship Id="rId145" Type="http://schemas.openxmlformats.org/officeDocument/2006/relationships/hyperlink" Target="https://www.sec.gov/Archives/edgar/data/1923891/000149315224010521/ex3-3.htm" TargetMode="External"/><Relationship Id="rId146" Type="http://schemas.openxmlformats.org/officeDocument/2006/relationships/hyperlink" Target="https://www.sec.gov/Archives/edgar/data/1923891/000149315224010521/ex4-1.htm" TargetMode="External"/><Relationship Id="rId147" Type="http://schemas.openxmlformats.org/officeDocument/2006/relationships/hyperlink" Target="https://www.sec.gov/Archives/edgar/data/1923891/000149315224018971/ex4-1.htm" TargetMode="External"/><Relationship Id="rId148" Type="http://schemas.openxmlformats.org/officeDocument/2006/relationships/hyperlink" Target="https://www.sec.gov/Archives/edgar/data/1923891/000149315224027876/ex1-1.htm" TargetMode="External"/><Relationship Id="rId149" Type="http://schemas.openxmlformats.org/officeDocument/2006/relationships/hyperlink" Target="https://www.sec.gov/Archives/edgar/data/1923891/000149315224042558/ex1-1.htm" TargetMode="External"/><Relationship Id="rId150" Type="http://schemas.openxmlformats.org/officeDocument/2006/relationships/hyperlink" Target="https://www.sec.gov/Archives/edgar/data/1923891/000149315224027876/ex4-2.htm" TargetMode="External"/><Relationship Id="rId151" Type="http://schemas.openxmlformats.org/officeDocument/2006/relationships/hyperlink" Target="https://www.sec.gov/Archives/edgar/data/1923891/000149315224042558/ex4-1.htm" TargetMode="External"/><Relationship Id="rId152" Type="http://schemas.openxmlformats.org/officeDocument/2006/relationships/hyperlink" Target="https://www.sec.gov/Archives/edgar/data/1923891/000149315224048054/ex4-1.htm" TargetMode="External"/><Relationship Id="rId153" Type="http://schemas.openxmlformats.org/officeDocument/2006/relationships/hyperlink" Target="https://www.sec.gov/Archives/edgar/data/1923891/000149315224010521/ex10-1.htm" TargetMode="External"/><Relationship Id="rId154" Type="http://schemas.openxmlformats.org/officeDocument/2006/relationships/hyperlink" Target="https://www.sec.gov/Archives/edgar/data/1923891/000149315224010521/ex10-2.htm" TargetMode="External"/><Relationship Id="rId155" Type="http://schemas.openxmlformats.org/officeDocument/2006/relationships/hyperlink" Target="https://www.sec.gov/Archives/edgar/data/1923891/000149315224041573/ex10-1.htm" TargetMode="External"/><Relationship Id="rId156" Type="http://schemas.openxmlformats.org/officeDocument/2006/relationships/hyperlink" Target="https://www.sec.gov/Archives/edgar/data/1923891/000149315224010521/ex10-5.htm" TargetMode="External"/><Relationship Id="rId157" Type="http://schemas.openxmlformats.org/officeDocument/2006/relationships/hyperlink" Target="https://www.sec.gov/Archives/edgar/data/1923891/000149315224010521/ex10-6.htm" TargetMode="External"/><Relationship Id="rId158" Type="http://schemas.openxmlformats.org/officeDocument/2006/relationships/hyperlink" Target="https://www.sec.gov/Archives/edgar/data/1923891/000149315224010521/ex10-7.htm" TargetMode="External"/><Relationship Id="rId159" Type="http://schemas.openxmlformats.org/officeDocument/2006/relationships/hyperlink" Target="https://www.sec.gov/Archives/edgar/data/1923891/000149315224010521/ex10-8.htm" TargetMode="External"/><Relationship Id="rId160" Type="http://schemas.openxmlformats.org/officeDocument/2006/relationships/hyperlink" Target="https://www.sec.gov/Archives/edgar/data/1923891/000149315224010521/ex10-9.htm" TargetMode="External"/><Relationship Id="rId161" Type="http://schemas.openxmlformats.org/officeDocument/2006/relationships/hyperlink" Target="https://www.sec.gov/Archives/edgar/data/1923891/000149315224010521/ex10-10.htm" TargetMode="External"/><Relationship Id="rId162" Type="http://schemas.openxmlformats.org/officeDocument/2006/relationships/hyperlink" Target="https://www.sec.gov/Archives/edgar/data/1923891/000149315224010521/ex10-11.htm" TargetMode="External"/><Relationship Id="rId163" Type="http://schemas.openxmlformats.org/officeDocument/2006/relationships/hyperlink" Target="https://www.sec.gov/Archives/edgar/data/1923891/000149315224041765/ex10-13.htm" TargetMode="External"/><Relationship Id="rId164" Type="http://schemas.openxmlformats.org/officeDocument/2006/relationships/hyperlink" Target="https://www.sec.gov/Archives/edgar/data/1923891/000149315224010521/ex10-14.htm" TargetMode="External"/><Relationship Id="rId165" Type="http://schemas.openxmlformats.org/officeDocument/2006/relationships/hyperlink" Target="https://www.sec.gov/Archives/edgar/data/1923891/000149315224010521/ex10-15.htm" TargetMode="External"/><Relationship Id="rId166" Type="http://schemas.openxmlformats.org/officeDocument/2006/relationships/hyperlink" Target="https://www.sec.gov/Archives/edgar/data/1923891/000149315224010521/ex10-16.htm" TargetMode="External"/><Relationship Id="rId167" Type="http://schemas.openxmlformats.org/officeDocument/2006/relationships/hyperlink" Target="https://www.sec.gov/Archives/edgar/data/1923891/000149315224015725/ex10-17.htm" TargetMode="External"/><Relationship Id="rId168" Type="http://schemas.openxmlformats.org/officeDocument/2006/relationships/hyperlink" Target="https://www.sec.gov/Archives/edgar/data/1923891/000149315224014252/ex10-18.htm" TargetMode="External"/><Relationship Id="rId169" Type="http://schemas.openxmlformats.org/officeDocument/2006/relationships/hyperlink" Target="https://www.sec.gov/Archives/edgar/data/1923891/000149315224017321/ex10-19.htm" TargetMode="External"/><Relationship Id="rId170" Type="http://schemas.openxmlformats.org/officeDocument/2006/relationships/hyperlink" Target="https://www.sec.gov/Archives/edgar/data/1923891/000149315224052393/ex10-18.htm" TargetMode="External"/><Relationship Id="rId171" Type="http://schemas.openxmlformats.org/officeDocument/2006/relationships/hyperlink" Target="https://www.sec.gov/Archives/edgar/data/1923891/000149315224052393/ex10-19.htm" TargetMode="External"/><Relationship Id="rId172" Type="http://schemas.openxmlformats.org/officeDocument/2006/relationships/hyperlink" Target="https://www.sec.gov/Archives/edgar/data/1923891/000149315224052094/ex10-1.htm" TargetMode="External"/><Relationship Id="rId173" Type="http://schemas.openxmlformats.org/officeDocument/2006/relationships/hyperlink" Target="https://www.sec.gov/Archives/edgar/data/1923891/000149315224048054/ex10-1.htm" TargetMode="External"/><Relationship Id="rId174" Type="http://schemas.openxmlformats.org/officeDocument/2006/relationships/hyperlink" Target="https://www.sec.gov/Archives/edgar/data/1923891/000149315224048054/ex10-2.htm" TargetMode="External"/><Relationship Id="rId175" Type="http://schemas.openxmlformats.org/officeDocument/2006/relationships/hyperlink" Target="https://www.sec.gov/Archives/edgar/data/1923891/000149315225002028/ex10-2.htm" TargetMode="External"/><Relationship Id="rId176" Type="http://schemas.openxmlformats.org/officeDocument/2006/relationships/hyperlink" Target="https://www.sec.gov/Archives/edgar/data/1923891/000149315225002028/ex10-3.htm" TargetMode="External"/><Relationship Id="rId177" Type="http://schemas.openxmlformats.org/officeDocument/2006/relationships/hyperlink" Target="https://www.sec.gov/Archives/edgar/data/1923891/000149315225010036/ex10-1.htm" TargetMode="External"/><Relationship Id="rId178" Type="http://schemas.openxmlformats.org/officeDocument/2006/relationships/hyperlink" Target="https://www.sec.gov/Archives/edgar/data/1923891/000149315225010036/ex10-2.htm" TargetMode="External"/><Relationship Id="rId179" Type="http://schemas.openxmlformats.org/officeDocument/2006/relationships/hyperlink" Target="https://www.sec.gov/Archives/edgar/data/1923891/000149315225008757/formdef14a.htm#f_010" TargetMode="External"/><Relationship Id="rId180" Type="http://schemas.openxmlformats.org/officeDocument/2006/relationships/hyperlink" Target="https://www.sec.gov/Archives/edgar/data/1923891/000164117225012866/ex10-1.htm" TargetMode="External"/><Relationship Id="rId181" Type="http://schemas.openxmlformats.org/officeDocument/2006/relationships/hyperlink" Target="https://www.sec.gov/Archives/edgar/data/1923891/000164117225013857/ex10-1.htm" TargetMode="External"/><Relationship Id="rId182" Type="http://schemas.openxmlformats.org/officeDocument/2006/relationships/hyperlink" Target="https://www.sec.gov/Archives/edgar/data/1923891/000164117225021064/ex1-2.htm" TargetMode="External"/><Relationship Id="rId183" Type="http://schemas.openxmlformats.org/officeDocument/2006/relationships/hyperlink" Target="https://www.sec.gov/Archives/edgar/data/1923891/000149315225012928/ex10-1.htm" TargetMode="External"/><Relationship Id="rId184" Type="http://schemas.openxmlformats.org/officeDocument/2006/relationships/hyperlink" Target="https://www.sec.gov/Archives/edgar/data/1923891/000149315225012928/ex10-2.htm" TargetMode="External"/><Relationship Id="rId185" Type="http://schemas.openxmlformats.org/officeDocument/2006/relationships/hyperlink" Target="https://www.sec.gov/Archives/edgar/data/1923891/000149315225012928/ex10-3.htm" TargetMode="External"/><Relationship Id="rId186" Type="http://schemas.openxmlformats.org/officeDocument/2006/relationships/hyperlink" Target="https://www.sec.gov/Archives/edgar/data/1923891/000149315225012190/ex10-1.htm" TargetMode="External"/><Relationship Id="rId187" Type="http://schemas.openxmlformats.org/officeDocument/2006/relationships/hyperlink" Target="https://www.sec.gov/Archives/edgar/data/1923891/000149315225017769/ex10-1.htm" TargetMode="External"/><Relationship Id="rId188" Type="http://schemas.openxmlformats.org/officeDocument/2006/relationships/hyperlink" Target="https://www.sec.gov/Archives/edgar/data/1923891/000149315224052393/ex14-1.htm" TargetMode="External"/><Relationship Id="rId189" Type="http://schemas.openxmlformats.org/officeDocument/2006/relationships/hyperlink" Target="https://www.sec.gov/Archives/edgar/data/1923891/000149315224052393/ex19-1.htm" TargetMode="External"/><Relationship Id="rId191" Type="http://schemas.openxmlformats.org/officeDocument/2006/relationships/hyperlink" Target="https://www.sec.gov/Archives/edgar/data/1923891/000149315224014252/ex99-1.htm" TargetMode="External"/><Relationship Id="rId192" Type="http://schemas.openxmlformats.org/officeDocument/2006/relationships/hyperlink" Target="https://www.sec.gov/Archives/edgar/data/1923891/000149315224014252/ex99-2.htm" TargetMode="External"/><Relationship Id="rId193" Type="http://schemas.openxmlformats.org/officeDocument/2006/relationships/hyperlink" Target="https://www.sec.gov/Archives/edgar/data/1923891/000149315224014252/ex99-3.htm" TargetMode="External"/><Relationship Id="rId194" Type="http://schemas.openxmlformats.org/officeDocument/2006/relationships/hyperlink" Target="https://www.sec.gov/Archives/edgar/data/1923891/000149315224014252/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2025-12-18T07:30:41Z</dcterms:created>
  <dcterms:modified xsi:type="dcterms:W3CDTF">2025-12-18T07:30:41Z</dcterms:modified>
</cp:coreProperties>
</file>