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Hare Diane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9,536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on the first anniversary of the Grant Date, subject to the Reporting Person's continued service with the Issuer through the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Diane Hare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1755"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3773</Characters>
  <CharactersWithSpaces>4417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