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333-288982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-3550920</wp:posOffset>
            </wp:positionH>
            <wp:positionV relativeFrom="paragraph">
              <wp:posOffset>142875</wp:posOffset>
            </wp:positionV>
            <wp:extent cx="3154680" cy="917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54680" cy="91757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040" w:space="720"/>
            <w:col w:w="2480"/>
          </w:cols>
          <w:pgMar w:left="320" w:top="44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$400,000,000 of Shares of Common Stock</w:t>
      </w:r>
    </w:p>
    <w:p>
      <w:pPr>
        <w:spacing w:after="0" w:line="229" w:lineRule="exact"/>
        <w:rPr>
          <w:sz w:val="24"/>
          <w:szCs w:val="24"/>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Nano Nuclear Energy, Inc. (the “Company,” “we,” “us” or “our”) has entered into a sales agreement (the “Agreement”) with TD Securities (USA) LLC (“TD Cowen”), UBS Securities LLC and Piper Sandler &amp; Co. (each a “Sales Agent” and together, the “Sales Agents”), relating to the sale of shares of our common stock, par value $0.0001 per share (our “common stock”), offered by this prospectus (including the base prospectus contained within the Registration Statement on Form S-3 of which this prospectus forms a part) (referred to herein as the “prospectus”). In accordance with the terms of</w:t>
      </w:r>
    </w:p>
    <w:p>
      <w:pPr>
        <w:spacing w:after="0" w:line="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we may offer and sell up to $400,000,000 of shares of our common stock from time to time through or to the Sales Agents acting as agents or principals.</w:t>
      </w:r>
    </w:p>
    <w:p>
      <w:pPr>
        <w:spacing w:after="0" w:line="162" w:lineRule="exact"/>
        <w:rPr>
          <w:sz w:val="24"/>
          <w:szCs w:val="24"/>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Capital Market tier of The Nasdaq Stock Market LLC (“Nasdaq”) under the symbol “NNE.” The last reported sale price of our common stock on March 6, 2026 was $23.54 per share.</w:t>
      </w:r>
    </w:p>
    <w:p>
      <w:pPr>
        <w:spacing w:after="0" w:line="162" w:lineRule="exact"/>
        <w:rPr>
          <w:sz w:val="24"/>
          <w:szCs w:val="24"/>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in negotiated transactions, including block trades, or transactions that are deemed to be “at-the-market”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at negotiated prices or by any other method permitted by law. The Sales Agents are not required to sell any specific dollar amount of shares but will use commercially reasonable efforts to sell on our behalf all of the shares requested to be sold by us, consistent with their normal trading and sales practices, on mutually agreed terms between us and the Sales Agents. There is no arrangement for funds to be received in any escrow, trust or similar arrangement. The Sales Agents may also purchase shares of our common stock as principals.</w:t>
      </w:r>
    </w:p>
    <w:p>
      <w:pPr>
        <w:spacing w:after="0" w:line="189" w:lineRule="exact"/>
        <w:rPr>
          <w:sz w:val="24"/>
          <w:szCs w:val="24"/>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compensation to the Sales Agents for sales of common stock sold pursuant to the Agreement will be an amount up to 3% of the gross proceeds of any shares of common stock sold under the Agreement. In connection with the sale of our common stock on our behalf, the Sales Agents shall be deemed to be “underwriters” within the meaning of the Securities Act, and the compensation of the Sales Agents shall be deemed to be underwriting discounts or commissions. See “Plan of Distribution” beginning on page S-22 for additional information regarding underwriting compensation. We have also agreed to provide indemnification and contribution to the Sales Agents with respect to certain liabilities, including liabilities under the Securities Act.</w:t>
      </w:r>
    </w:p>
    <w:p>
      <w:pPr>
        <w:spacing w:after="0" w:line="179" w:lineRule="exact"/>
        <w:rPr>
          <w:sz w:val="24"/>
          <w:szCs w:val="24"/>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 investment in the securities offered through this prospectus is speculative and involves a high degree of risk. </w:t>
      </w:r>
      <w:r>
        <w:rPr>
          <w:rFonts w:ascii="Times New Roman" w:cs="Times New Roman" w:eastAsia="Times New Roman" w:hAnsi="Times New Roman"/>
          <w:sz w:val="18"/>
          <w:szCs w:val="18"/>
          <w:b w:val="1"/>
          <w:bCs w:val="1"/>
          <w:color w:val="auto"/>
        </w:rPr>
        <w:t>You should review carefully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risks and uncertainties described under the heading “Risk Factors” beginning on page S-17 of this prospectus and in the documents incorporated by reference in this prospectus.</w:t>
      </w:r>
    </w:p>
    <w:p>
      <w:pPr>
        <w:spacing w:after="0" w:line="171" w:lineRule="exact"/>
        <w:rPr>
          <w:sz w:val="24"/>
          <w:szCs w:val="24"/>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passed upon the accuracy or adequacy of this prospectus. Any representation to the contrary is a criminal offense.</w:t>
      </w:r>
    </w:p>
    <w:p>
      <w:pPr>
        <w:spacing w:after="0" w:line="155" w:lineRule="exact"/>
        <w:rPr>
          <w:sz w:val="24"/>
          <w:szCs w:val="24"/>
          <w:color w:val="auto"/>
        </w:rPr>
      </w:pPr>
    </w:p>
    <w:p>
      <w:pPr>
        <w:ind w:left="1460"/>
        <w:spacing w:after="0"/>
        <w:tabs>
          <w:tab w:leader="none" w:pos="4700" w:val="left"/>
          <w:tab w:leader="none" w:pos="8780" w:val="left"/>
        </w:tabs>
        <w:rPr>
          <w:sz w:val="20"/>
          <w:szCs w:val="20"/>
          <w:color w:val="auto"/>
        </w:rPr>
      </w:pPr>
      <w:r>
        <w:rPr>
          <w:rFonts w:ascii="Times New Roman" w:cs="Times New Roman" w:eastAsia="Times New Roman" w:hAnsi="Times New Roman"/>
          <w:sz w:val="18"/>
          <w:szCs w:val="18"/>
          <w:b w:val="1"/>
          <w:bCs w:val="1"/>
          <w:color w:val="auto"/>
        </w:rPr>
        <w:t>TD Cowen</w:t>
      </w:r>
      <w:r>
        <w:rPr>
          <w:sz w:val="20"/>
          <w:szCs w:val="20"/>
          <w:color w:val="auto"/>
        </w:rPr>
        <w:tab/>
      </w:r>
      <w:r>
        <w:rPr>
          <w:rFonts w:ascii="Times New Roman" w:cs="Times New Roman" w:eastAsia="Times New Roman" w:hAnsi="Times New Roman"/>
          <w:sz w:val="18"/>
          <w:szCs w:val="18"/>
          <w:b w:val="1"/>
          <w:bCs w:val="1"/>
          <w:color w:val="auto"/>
        </w:rPr>
        <w:t>UBS Investment Bank</w:t>
      </w:r>
      <w:r>
        <w:rPr>
          <w:sz w:val="20"/>
          <w:szCs w:val="20"/>
          <w:color w:val="auto"/>
        </w:rPr>
        <w:tab/>
      </w:r>
      <w:r>
        <w:rPr>
          <w:rFonts w:ascii="Times New Roman" w:cs="Times New Roman" w:eastAsia="Times New Roman" w:hAnsi="Times New Roman"/>
          <w:sz w:val="17"/>
          <w:szCs w:val="17"/>
          <w:b w:val="1"/>
          <w:bCs w:val="1"/>
          <w:color w:val="auto"/>
        </w:rPr>
        <w:t>Piper Sandler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440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608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 Looking Statements</w:t>
            </w:r>
          </w:p>
        </w:tc>
        <w:tc>
          <w:tcPr>
            <w:tcW w:w="60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860" w:type="dxa"/>
            <w:vAlign w:val="bottom"/>
            <w:tcBorders>
              <w:bottom w:val="single" w:sz="8" w:color="CCEEFF"/>
            </w:tcBorders>
            <w:gridSpan w:val="6"/>
            <w:shd w:val="clear" w:color="auto" w:fill="CCEEFF"/>
          </w:tcPr>
          <w:p>
            <w:pPr>
              <w:spacing w:after="0"/>
              <w:rPr>
                <w:sz w:val="17"/>
                <w:szCs w:val="17"/>
                <w:color w:val="auto"/>
              </w:rPr>
            </w:pPr>
          </w:p>
        </w:tc>
        <w:tc>
          <w:tcPr>
            <w:tcW w:w="60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0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80" w:type="dxa"/>
            <w:vAlign w:val="bottom"/>
            <w:tcBorders>
              <w:bottom w:val="single" w:sz="8" w:color="CCEEFF"/>
            </w:tcBorders>
            <w:gridSpan w:val="11"/>
            <w:shd w:val="clear" w:color="auto" w:fill="CCEEFF"/>
          </w:tcPr>
          <w:p>
            <w:pPr>
              <w:spacing w:after="0"/>
              <w:rPr>
                <w:sz w:val="17"/>
                <w:szCs w:val="17"/>
                <w:color w:val="auto"/>
              </w:rPr>
            </w:pPr>
          </w:p>
        </w:tc>
        <w:tc>
          <w:tcPr>
            <w:tcW w:w="60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0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44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0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0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960" w:type="dxa"/>
            <w:vAlign w:val="bottom"/>
            <w:tcBorders>
              <w:bottom w:val="single" w:sz="8" w:color="CCEEFF"/>
            </w:tcBorders>
            <w:gridSpan w:val="7"/>
            <w:shd w:val="clear" w:color="auto" w:fill="CCEEFF"/>
          </w:tcPr>
          <w:p>
            <w:pPr>
              <w:spacing w:after="0"/>
              <w:rPr>
                <w:sz w:val="17"/>
                <w:szCs w:val="17"/>
                <w:color w:val="auto"/>
              </w:rPr>
            </w:pPr>
          </w:p>
        </w:tc>
        <w:tc>
          <w:tcPr>
            <w:tcW w:w="60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5"/>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0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840" w:type="dxa"/>
            <w:vAlign w:val="bottom"/>
            <w:tcBorders>
              <w:bottom w:val="single" w:sz="8" w:color="CCEEFF"/>
            </w:tcBorders>
            <w:gridSpan w:val="13"/>
            <w:shd w:val="clear" w:color="auto" w:fill="CCEEFF"/>
          </w:tcPr>
          <w:p>
            <w:pPr>
              <w:spacing w:after="0"/>
              <w:rPr>
                <w:sz w:val="17"/>
                <w:szCs w:val="17"/>
                <w:color w:val="auto"/>
              </w:rPr>
            </w:pPr>
          </w:p>
        </w:tc>
        <w:tc>
          <w:tcPr>
            <w:tcW w:w="60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0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44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0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and the accompanying base prospectus are part of a registration statement on Form S-3 that we have filed with the Securities and Exchange Commission, or SEC, employing a “shelf” registration process. Under this prospectus, we may offer and sell shares of our common stock having an aggregate offering price of up to $400,000,000 from time to time at prices and on terms to be determined by market conditions at the time of offering.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contained in this prospectus and the documents incorporated by reference in this prospectus is accurate only as of the respective dates of those documents. 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 this prospectus that was filed with the SEC after the date of this prospectus — the statement in the document having the later date modifies or supersedes the earlier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 and “Incorporation of Certain Information by Reference.” The representations, warranties and covenants made by us in any agreement that is filed as an exhibit to any document that is incorporated by reference in the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urge you to read carefully this prospectus, as well as any documents incorporated by reference as described under the heading “Incorporation of Certain Information by Reference,” before investing in any of the securities being offered. You should rely only on the information contained in, or incorporated by reference in, this prospectus. We have not, and the Sales Agents have not, authorized anyone to provide you with information that is in addition to or different from the information included or incorporated by reference in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in this prospectus and any related free writing prospectuses, together with any information incorporated by reference in this prospectus, contains “forward-looking statements” within the meaning of Section 27A of the Securities Act, and Section 21E of the Exchange Act. All statements other than statements of historical fact, including statements regarding our future operating results and financial position, our business strategy and plans, market growth, and our objectives for future operations, are forward-looking statements. These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“could,” “would,” “expect,” “anticipate,” “aim,” “estimate,” “intend,” “plan,” “believe,” “is/are likely to,” “potential,” “project,” “target,” “continue” or the negative of these terms or other similar expressions, although not all forward-looking statements may contain these words. Forward-looking statements are only predictions and are based largely on our current expectations and projections about future events and financial trends that we reasonably believe may affect our business, financial condition and results of operations. Although we believe that the expectations reflected in our forward-looking statements are reasonable, actual outcomes could differ materially from those projected or assumed in any of our forward-looking statements. Our future business, financial condition and results of operations, as well as any forward-looking statements, are subject to change given the inherent risks and uncertainties of market and industry conditions.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are neither predictions nor guarantees of future outcomes. Forward-looking statements present estimates and assumptions only as of the date on the cover of the document in which they are contained, and are subject to significant known and unknown risks, uncertainties and assumptions. Accordingly, you are cautioned not to place undue reliance on forward-looking statements, which speak only as of the dates on which they are made. Important factors that could cause actual outcomes to differ materially from those in the forward-looking statements include, but are not limited to, those summarized below:</w:t>
      </w:r>
    </w:p>
    <w:p>
      <w:pPr>
        <w:spacing w:after="0" w:line="183"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demonstrate, obtain regulatory approval for and ultimately sell our proposed nuclear reactors or other products, technologies or services we are developing.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or internally develop the necessary fuel and material supply chain to power our next generation of advanced nuclear reactors.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or internally develop the required transportation capabilities to move our reactors, their fuel, and other special materials critical to the commercial deployment of our reactor systems.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internally, and to externally provide, nuclear service support and consultation services for the expanding and resurgent nuclear energy industry, both domestically and internationally.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retain, and expand our technical and business staff to meet the demands of our expanding and diversifying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amount of additional funds that will be necessary for our business to succeed, which funds may not be available on acceptable terms or available at all.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key third party collaborators including, without limitation, The University of Illinois Urbana-Champaign, to perform their obligations to us and meet goals and timelines as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 or other products, technologies or services we are developing.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complex and time-consuming nuclear regulatory regimes in the jurisdictions we operate, including unanticipated regulations or regulatory failures that could add barriers, time and cost to our business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expenses, capital requirements, revenue potential and our needs for, or ability to obtain, additional financing.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pre-revenue company in a rapidly evolving, complex and highly competitive industry with a business model that is still being developed and is largely untested.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 significant disruption in our information technology system, including security breaches, or our ability to implement new system and software successfully.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forward-looking statements regarding our company and its prospects included or incorporated by reference in this prospectus including, without limitation, those under “Risk Factors,” “Management’s Discussion and Analysis of Financial Condition and Results of Operations,” and “Business” as such factors may be updated from time to time in our other filings with the SEC.</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Forward-looking statements necessarily involve risks and uncertainties, and our actual results could differ materially from those anticipated in the forward-looking statements due to a number of factors, including those set forth under “Risk Factors” and elsewhere contained or incorporated by reference in this prospectus. All written and oral forward-looking statements attributable to us or persons acting on our behalf are expressly qualified in their entirety by the cautionary statements contained above and throughout this prospectus. Prior to investing in our common stock, you should read this prospectus, our filings incorporated by reference herein and the documents we have filed as exhibits to this registration statement of which this prospectus is a part completely and with the understanding that our actual future results may be materially different from what we currently expect.</w:t>
      </w:r>
    </w:p>
    <w:p>
      <w:pPr>
        <w:spacing w:after="0" w:line="18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revise any forward-looking statements, whether as a result of new information, future events or otherwise, after the date on which the statements are made or to reflect the occurrence of unanticipated events.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otherwise indicated, data concerning economic conditions, our industry, our markets and our competitive position are based on a variety of sources, including information from third-party industry analysts, publications, surveys and forecasts and our own estimates and research. These data involve a number of assumptions, estimates and limitations. Industry publications, surveys and forecasts and other public information generally indicate or suggest that their information has been obtained from sources believed to be reliable. None of the third-party industry data used in this prospectus were prepared on our behalf. The industry in which we operate is subject to a high degree of uncertainty and risk due to a variety of factors, including those described in “Risk Factors”. These and other factors could cause results to differ materially from those expressed in these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or trade names that we use in connection with the operation of our businesses, our corporate names, logos and websites. We may make references to our trademarks and service marks, and to those belonging to other entities. Solely for convenience, trademarks and</w:t>
      </w: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trade names referred to may appear without ®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similar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an endorsement or sponsorship of us by, any other companies. All other trademarks and service marks are the property of their respective owners.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appearing elsewhere or incorporated by reference in this prospectus. Because it is only a summary, it does not contain all of the information that you should consider before investing in the shares offered hereby and it is qualified in its entirety by, and should be read in conjunction with, the more detailed information appearing elsewhere or incorporated by reference in this prospectus. This summary contains forward-looking statements that involve risks and uncertainties, such as statements about our plans, objectives, expectations, assumptions, or future events. These statements involve estimates, assumptions, known and unknown risks, uncertainties and other factors that could cause actual results to differ materially from any future results, performances or achievements expressed or implied by the forward-looking statements. See “Cautionary Note Regarding Forward-Looking Statements” before you decide to invest in our common stock, you should also read the entire prospectus carefully, including “Risk Factors” beginning on page S-17, “Summary of Consolidated Financial Information” beginning on page S-11, and the financial statements and related notes included or incorporated by reference in this prospectus.</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as used in this prospectus, the terms “we,” “us,” “our,” “our company,” “Nano Nuclear” and “our business” refer to Nano Nuclear Energy Inc.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a nuclear energy and technology company, developing smaller, simpler, and safer advanced clean energy solutions, utilizing proprietary reactor designs, intellectual property, and research methods, to contribute towards a sustainable future. Led by a world class scientific and management team, our business plan involves comprehensive engagement across every sector of the nuclear power and energy industry, traversing the path from sourcing raw materials through to developing cutting edge advanced nuclear microreactors. Our dedication extends further, encompassing ambitions within the commercial nuclear fuel transportation sector, the nuclear energy fuel supply chain, technology development, and nuclear consulting services.</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currently in the pre-revenue stage, and we have not generated any material revenues from our inception through December 31, 2025. For the three months ended December 31, 2025 and the years ended September 30, 2025 and 2024, our net loss was approximately $6.5 million, $40.1 million and $10.2 million, respectively, and our accumulated deficit was approximately $64.0 million, $57.5 million and $17.4 million, respectively.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are a relatively young company, having been formed in 2022, as of the date of this prospectus, we had 45 full-time employees and 18 independent contractors with an aggregate of 108 advanced degrees, including 33 master’s degrees in engineering, science, business, taxation and philosophy, 12 PhDs and two JDs (Juris Doctors - Doctor of Law). We have expanded our human capital resources extensively over the last two years, and while we expect to continue to grow the number of our employees and contractors as our business needs dictate, we believe that our existing personnel have the capacity to conduct our various current workstreams described below and to pursue the launch of our proposed business lines in parallel. We are also leveraging the expertise and experience of various third-party contracting firms who are supplementing our existing human capital resources by providing specialized services in several areas, including design engineering, procurement and construction management, enabling us to advance several initiatives concurrently.</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Readers should note that in this prospectus and the documents incorporated herein by reference, we provide our current estimated timelines for advancing and commercially launching our business lines, including key assumptions and variables. Based on our management’s experience, expertise and communications with applicable regulators and other stakeholders (such as third-party contractors), we believe we have a sufficient basis to provide reasonable timing estimates for our efforts, and our expectation is that we will meet such timing for our proposed business lines. However, readers are cautioned that our business plans are evolving and remain subject to the completion of ongoing technical, regulatory, and operational preparations, which are inherently uncertain and risky given the nature of our business and may be affected by factors beyond our control. Accordingly, no assurances can be given that we will be able to progress and commercially launch our several business lines as currently anticipated, or that such progress or commercial launches will occur in the timeframes we anticipate, if at all. For further information, please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and in the documents incorporated herein by reference,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our 2025 Annual Report (as defined below) on Form 10-K for the year ended September 30, 2025, which was filed on December 18, 2025, and our Quarterly Report (as defined below) on Form 10-Q for the three months ended December 31, 2025, which was filed on February 17,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Microreactor and Other Nuclear Technology Business Lines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principally focused on the following four business lines as part of our development strategy:</w:t>
      </w:r>
    </w:p>
    <w:p>
      <w:pPr>
        <w:spacing w:after="0" w:line="221" w:lineRule="exact"/>
        <w:rPr>
          <w:sz w:val="20"/>
          <w:szCs w:val="20"/>
          <w:color w:val="auto"/>
        </w:rPr>
      </w:pPr>
    </w:p>
    <w:p>
      <w:pPr>
        <w:jc w:val="both"/>
        <w:ind w:left="640" w:right="20" w:hanging="321"/>
        <w:spacing w:after="0" w:line="26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Reactor Business</w:t>
      </w:r>
      <w:r>
        <w:rPr>
          <w:rFonts w:ascii="Times New Roman" w:cs="Times New Roman" w:eastAsia="Times New Roman" w:hAnsi="Times New Roman"/>
          <w:sz w:val="18"/>
          <w:szCs w:val="18"/>
          <w:color w:val="auto"/>
        </w:rPr>
        <w:t>. We are developing the next generation of advanced nuclear microreactors, with our principal focus centered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KRONOS MMR™ Energy System</w:t>
      </w:r>
      <w:r>
        <w:rPr>
          <w:rFonts w:ascii="Times New Roman" w:cs="Times New Roman" w:eastAsia="Times New Roman" w:hAnsi="Times New Roman"/>
          <w:sz w:val="18"/>
          <w:szCs w:val="18"/>
          <w:color w:val="auto"/>
        </w:rPr>
        <w:t>. This high technology readiness level (or TRL), high-temperature gas-cooled reactor (or HTGR), Tristructural-Isotropic (or TRISO) fueled reactor is designed for both small- and large-scale operations, optimizing between size and output to allow for modularity and easier mass manufacturing, and efficient scalable energy generation.</w:t>
      </w:r>
    </w:p>
    <w:p>
      <w:pPr>
        <w:spacing w:after="0" w:line="176" w:lineRule="exact"/>
        <w:rPr>
          <w:rFonts w:ascii="Times New Roman" w:cs="Times New Roman" w:eastAsia="Times New Roman" w:hAnsi="Times New Roman"/>
          <w:sz w:val="18"/>
          <w:szCs w:val="18"/>
          <w:color w:val="auto"/>
        </w:rPr>
      </w:pPr>
    </w:p>
    <w:p>
      <w:pPr>
        <w:jc w:val="both"/>
        <w:ind w:left="6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portfolio of reactors also includes the </w:t>
      </w:r>
      <w:r>
        <w:rPr>
          <w:rFonts w:ascii="Times New Roman" w:cs="Times New Roman" w:eastAsia="Times New Roman" w:hAnsi="Times New Roman"/>
          <w:sz w:val="18"/>
          <w:szCs w:val="18"/>
          <w:b w:val="1"/>
          <w:bCs w:val="1"/>
          <w:color w:val="auto"/>
        </w:rPr>
        <w:t>LOKI MMR™ reactor</w:t>
      </w:r>
      <w:r>
        <w:rPr>
          <w:rFonts w:ascii="Times New Roman" w:cs="Times New Roman" w:eastAsia="Times New Roman" w:hAnsi="Times New Roman"/>
          <w:sz w:val="18"/>
          <w:szCs w:val="18"/>
          <w:color w:val="auto"/>
        </w:rPr>
        <w:t xml:space="preserve">, a portable nuclear reactor designed for versatility in application and deployment which is also a HTGR utilizing TRISO fuel, and </w:t>
      </w:r>
      <w:r>
        <w:rPr>
          <w:rFonts w:ascii="Times New Roman" w:cs="Times New Roman" w:eastAsia="Times New Roman" w:hAnsi="Times New Roman"/>
          <w:sz w:val="18"/>
          <w:szCs w:val="18"/>
          <w:b w:val="1"/>
          <w:bCs w:val="1"/>
          <w:color w:val="auto"/>
        </w:rPr>
        <w:t>ZEUS™ reactor</w:t>
      </w:r>
      <w:r>
        <w:rPr>
          <w:rFonts w:ascii="Times New Roman" w:cs="Times New Roman" w:eastAsia="Times New Roman" w:hAnsi="Times New Roman"/>
          <w:sz w:val="18"/>
          <w:szCs w:val="18"/>
          <w:color w:val="auto"/>
        </w:rPr>
        <w:t xml:space="preserve">, a portable modular solid core battery reactor. Through the collaboration of our world-renowned nuclear scientists and engineers, the U.S. national nuclear laboratories, and government support, we believe our reactors will have the potential to impact the global energy landscape. Our goal is to commercially launch these products in the 2030s, and we are aiming to commercially launch the KRONOS MMR™ Energy System first in the early 2030s as we are currently dedicating the most time and resources to such product. We also own the rights to the </w:t>
      </w:r>
      <w:r>
        <w:rPr>
          <w:rFonts w:ascii="Times New Roman" w:cs="Times New Roman" w:eastAsia="Times New Roman" w:hAnsi="Times New Roman"/>
          <w:sz w:val="18"/>
          <w:szCs w:val="18"/>
          <w:b w:val="1"/>
          <w:bCs w:val="1"/>
          <w:color w:val="auto"/>
        </w:rPr>
        <w:t>ODIN™</w:t>
      </w:r>
      <w:r>
        <w:rPr>
          <w:rFonts w:ascii="Times New Roman" w:cs="Times New Roman" w:eastAsia="Times New Roman" w:hAnsi="Times New Roman"/>
          <w:sz w:val="18"/>
          <w:szCs w:val="18"/>
          <w:color w:val="auto"/>
        </w:rPr>
        <w:t xml:space="preserve"> reactor, a portable modular low pressure coolant reactor, which we are currently in the process of selling as described below.</w:t>
      </w:r>
    </w:p>
    <w:p>
      <w:pPr>
        <w:spacing w:after="0" w:line="18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January 2025 Acquisition of KRONOS and LOKI Assets</w:t>
      </w:r>
    </w:p>
    <w:p>
      <w:pPr>
        <w:spacing w:after="0" w:line="227" w:lineRule="exact"/>
        <w:rPr>
          <w:rFonts w:ascii="Times New Roman" w:cs="Times New Roman" w:eastAsia="Times New Roman" w:hAnsi="Times New Roman"/>
          <w:sz w:val="18"/>
          <w:szCs w:val="18"/>
          <w:color w:val="auto"/>
        </w:rPr>
      </w:pPr>
    </w:p>
    <w:p>
      <w:pPr>
        <w:jc w:val="both"/>
        <w:ind w:left="64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On December 18, 2024, the United States Bankruptcy Court for the District of Delaware (“Bankruptcy Court”) overseeing the bankruptcy of Ultra Safe Nuclear Corporation and its debtor subsidiaries (together, “USNC”) approved the sale by USNC to our company of certain assets related to the KRONOS MMR™ Energy System and the LOKI MMR™ Energy System (the “USNC Assets”), which approval included our right to purchase the Consent Assets (as defined below) and our assigned right to purchase the Consent Assets. We do not believe that USNC’s bankruptcy was attributable to any broader challenges facing participants in the advanced nuclear technology industry, including our company.</w:t>
      </w:r>
    </w:p>
    <w:p>
      <w:pPr>
        <w:sectPr>
          <w:pgSz w:w="11900" w:h="16934" w:orient="portrait"/>
          <w:cols w:equalWidth="0" w:num="1">
            <w:col w:w="10940"/>
          </w:cols>
          <w:pgMar w:left="480" w:top="914" w:right="479" w:bottom="0" w:gutter="0" w:footer="0" w:header="0"/>
        </w:sectPr>
      </w:pPr>
    </w:p>
    <w:bookmarkStart w:id="6" w:name="page7"/>
    <w:bookmarkEnd w:id="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Rather, we believe that USNC’s bankruptcy arose primarily from issues related specifically to USNC and its business, notably the termination of USNC’s primary source of funding, which led to liquidity shortfall and the rapid accrual of outstanding obligations, resulting ultimately in the commencement of bankruptcy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-424815</wp:posOffset>
            </wp:positionV>
            <wp:extent cx="7136130" cy="4622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622800"/>
                    </a:xfrm>
                    <a:prstGeom prst="rect">
                      <a:avLst/>
                    </a:prstGeom>
                    <a:noFill/>
                  </pic:spPr>
                </pic:pic>
              </a:graphicData>
            </a:graphic>
          </wp:anchor>
        </w:drawing>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January 10, 2025, we closed our acquisition of the USNC Assets (but excluding the Consent Assets as described below) from USNC (“USNC Closing”). All other components of the USNC Assets, other than the Consent Assets, were acquired by us on January 10, 2025. We acquired the USNC Assets free and clear of any liens other than certain specified liabilities of USNC that were assumed, for a total purchase price of $8.5 million in cash through an auction conducted pursuant to Section 363 of the U.S. Bankruptcy Code in connection with USNC’s pending Chapter 11 bankruptcy proceedings. We consider this purchase price to be advantageous for us as we believe based on publicly available information that USNC raised over $120 million for the development of the KRONOS MMR™ Energy System and that a major data center operator had conducted due diligence on the project while it was being developed by USNC.</w:t>
      </w:r>
    </w:p>
    <w:p>
      <w:pPr>
        <w:spacing w:after="0" w:line="18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USNC Assets included (i) five contracts with third-party collaborators, (ii) 38 issued, pending or published patents, 16 registered, pending or published trademarks, and any other technology and intellectual property related to the acquired assets, (iii) rights related to a demonstration project related to the KRONOS MMR™ Energy System in the United States, (iv) the business records of the USNC Assets and</w:t>
      </w:r>
    </w:p>
    <w:p>
      <w:pPr>
        <w:spacing w:after="0" w:line="1" w:lineRule="exact"/>
        <w:rPr>
          <w:sz w:val="20"/>
          <w:szCs w:val="20"/>
          <w:color w:val="auto"/>
        </w:rPr>
      </w:pPr>
    </w:p>
    <w:p>
      <w:pPr>
        <w:jc w:val="both"/>
        <w:ind w:right="20"/>
        <w:spacing w:after="0" w:line="185" w:lineRule="auto"/>
        <w:rPr>
          <w:sz w:val="20"/>
          <w:szCs w:val="20"/>
          <w:color w:val="auto"/>
        </w:rPr>
      </w:pPr>
      <w:r>
        <w:rPr>
          <w:rFonts w:ascii="Times New Roman" w:cs="Times New Roman" w:eastAsia="Times New Roman" w:hAnsi="Times New Roman"/>
          <w:sz w:val="18"/>
          <w:szCs w:val="18"/>
          <w:color w:val="auto"/>
        </w:rPr>
        <w:t>related rights, and (v) certain Canadian assets relating to both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and certain Canadian intellectual property rights relating to the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“Canadian Assets”). The Canadian Assets included, among other assets, the right to receive:</w:t>
      </w:r>
    </w:p>
    <w:p>
      <w:pPr>
        <w:jc w:val="both"/>
        <w:ind w:firstLine="3"/>
        <w:spacing w:after="0" w:line="243" w:lineRule="auto"/>
        <w:tabs>
          <w:tab w:leader="none" w:pos="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contracts with Canadian authorities relating to the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 demonstration project at Chalk River Laboratories located in Ontario, Canada (the “Chalk River Project”), (ii) the equity interests of a Canadian partnership (the “Canadian Partnership”) that was believed at the time to hold a license application (the “Chalk River License Application”) with the Canadian Nuclear Safety Commission (“CNSC”) associated with the Chalk River Project, and (iii) rights related to the Chalk River Project held by the Canadian Partnership (collectively, the “Consent Assets”), subject to the receipt of the consent of certain Canadian governmental entities, including the CNSC (the “Canadian Consents”). The Consent Assets were, however, excluded from the USNC Closing due to the requirement of Canadian Consents and, accordingly, were retained by USNC subject to receipt of the Canadian Consents. We established an escrow of $250,000 deposited with Western Alliance Bank at the closing securing the Canadian Consents, and said escrow amount was funded at the closing of the USNC Assets. If the Canadian Consents were not received within 90 days after the closing, we had the right to terminate the acquisition of the Consent Assets and receive the return of $250,000 held in escrow and forfeit our rights to the Consent Assets. Our right to acquire the Consent Assets was assigned to the Yu Entities as described below, but subject to our option arrangement with the Yu Entities as described below. In mid-December 2025, given our subsequent acquisition of Chalk River License Application directly through our acquisition of GFPL, we believe the Consent Assets were not material and given that the Canadian Consents were not obtained as contemplated by our agreement with USNC, each as described further below, we formally requested a return of the $250,000 escrow amount and abandoned our right to acquire the Consent Assets as they are not necessary for our business plan.</w:t>
      </w:r>
    </w:p>
    <w:p>
      <w:pPr>
        <w:spacing w:after="0" w:line="200" w:lineRule="exact"/>
        <w:rPr>
          <w:sz w:val="20"/>
          <w:szCs w:val="20"/>
          <w:color w:val="auto"/>
        </w:rPr>
      </w:pPr>
    </w:p>
    <w:p>
      <w:pPr>
        <w:spacing w:after="0" w:line="24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1120" w:top="121" w:right="47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459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9459595"/>
                    </a:xfrm>
                    <a:prstGeom prst="rect">
                      <a:avLst/>
                    </a:prstGeom>
                    <a:noFill/>
                  </pic:spPr>
                </pic:pic>
              </a:graphicData>
            </a:graphic>
          </wp:anchor>
        </w:drawing>
        <w:t>We were first made aware of the bankruptcy sale opportunity for the USNC Assets a few weeks before the bankruptcy auction was scheduled to take place. As such, the process of bidding for and documenting the purchase was very expedited and provided us with only a limited ability to conduct full due diligence on the USNC Assets, particularly the Canadian Assets. For example, the expedited timing afforded us no opportunity to speak with the CNSC in advance of the USNC Closing in January 2025. Moreover, we were made aware at that time that certain Consent Assets (specifically the Canadian Partnership, which was believed at the time to hold the Chalk River License Application) could potentially be encumbered by liabilities that could not be cleared through USNC’s U.S. bankruptcy process, thus creating a risk to us should we assume such liabilities. To enable our ability to continue diligence of the Consent Assets to ensure we acquired the correct assets and did not assume or become exposed to any unknown liabilities, on the closing date of the USNC Asset acquisition, we assigned our rights to acquire the Consent Assets to Jay Jiang Yu, our founder, President, Secretary and Treasurer, and Chairman of the Board, and certain existing Canadian entities owned or controlled by Mr. Yu (the “Yu Entities”). Accordingly, on January 10, 2025, we entered into an option agreement (“Yu Option Agreement”) with Mr. Yu and Yu Entities, pursuant to which we received an option back from Mr. Yu and the Yu Entities to acquire for nominal consideration, for a period of five years beginning with the receipt by the Yu Entities of the Consent Assets upon receiving the Canadian Consents, any or all of the equity interests of the Yu Entities or the Canadian Partnership, the other Consent Assets or the material assets and business of the Canadian Partnership. The assignment of the right to acquire the Consent Assets and the Yu Option Agreement were unanimously approved by our disinterested directors. Given the uncertainties regarding the Consent Assets at that time, we believe this option arrangement was the most efficient and cost-effective structure (particularly since the option was exercisable by us for only nominal consideration) for us to close the bankruptcy sale and secure the right to acquire the Consent Assets, subject to obtaining the Canadian Consents, while allowing us to continue our diligence to confirm that there were no significant undisclosed liabilities with respect to the Consent Assets and also preserving our ability to progress the KRONOS project in Canada and facilitate the Canadian Consents.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GFPL and 2025 Progress with Chalk River Project</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months following the USNC Closing, we sought the Canadian Consents for the Consent Assets (most notably, the Canadian Partnership’s rights to the Chalk River License Application), including through initial and subsequent communications with the CNSC. As part of our continuing due diligence, we learned that a USNC subsidiary and debtor in USNC’s bankruptcy case called Global First Power Ltd. (“GFPL”), and not the Canadian Partnership, was in fact the holder of the Chalk River License Application. Further, we were informed by the CNSC that the Chalk River License Application could not be transferred and that only GFPL itself could complete the Chalk River License Application and obtain the license for the Chalk River Project or, alternatively, we or our subsidiaries or designees would need to file a new application with the CNSC. Accordingly, we determined that the most efficient course of action for our company to continue the Chalk River Project would be for us to acquire the equity interests of GFPL itself and thereby acquire the Chalk River License Application. As a result, on August 14, 2025, The RPWI Liquidating Trust, a Delaware liquidating trust created pursuant to USNC’s plan of liquidation in bankruptcy, GFPL, our company and our subsidiary Kronos MMR Inc. entered into a Purchase Agreement (the “GFPL Purchase Agreement”) pursuant to which Kronos MMR agreed to purchase all of the equity interests of GFPL and any other assets of GFPL that are specified in the GFPL Purchase Agreement (including the rights to the Chalk River License Application), free and clear of all liens, claims, encumbrances and other interests. The purchase price for GFPL was our assumption of an approximately $0.65 million liability, which was the amount owed by GFPL to the CNSC for pre-petition bankruptcy claims, plus any other amounts payable to CNSC for the Chalk River License Application which first arise and relate to, or become due and payable in the ordinary course after the closing of such acquisition, plus a $15,000 expense reimbursement allowance. On September 2, 2025, the GFPL Purchase Agreement and the transactions contemplated thereby were approved by the Bankruptcy Court, and on October 16, 2025, such transaction was closed. Upon closing of the GFPL transaction, GFPL became our wholly owned subsidiary and thus (based on our discussions with CNSC) we have the right to proceed with the Chalk River License Application through GFPL. As of the date of this prospectus, the Chalk River License Application is still pending approval of the CNSC. We expect to pay the $0.65 million assumed liability using cash on hand when required as the regulatory process continues. As of the date of this prospectus, we are not aware of any other parties that claim to have ownership of the Chalk River License Application or any other assets we purchased from USNC. Moreover, all assets that we acquired from USNC were acquired in a bankruptcy court approved process, free and clear of any liabilities, liens or encumbrances (other than those expressly assumed as previously disclosed), which provides us with significant assurances of our ownership of the Chalk River License Application and related assets.</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a result of the foregoing, neither the Yu Entities nor our company acquired the Consent Assets, and given our subsequent due diligence and consultations with CNSC during 2025 following our acquisition of the USNC Assets, we have determined that (i) our acquisition of GFPL provides us with all of the rights and assets we require from USNC to progress the Chalk River Project, (ii) the Consent Assets subject to the Yu Option Agreement are immaterial to our plans and need not be acquired, with the result that the Yu Option has never been exercised, and we will not exercise the Yu Option. Accordingly, on March 5, 2026, the Yu Option Agreement was terminated. Moreover, given that the Canadian Consents were not achieved on a timely basis, in mid-December 2025, we made a written request for the return of the $250,000 escrow amount and abandoned our right to acquire the Consent Assets as they are not necessary for our business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late October 2025, we announced our rebranding of GFPL to the name True North Nuclear.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KRONOS MMR</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Reactor and Key Collaboration with The University of Illinois</w:t>
      </w:r>
    </w:p>
    <w:p>
      <w:pPr>
        <w:spacing w:after="0" w:line="141"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8"/>
          <w:szCs w:val="18"/>
          <w:color w:val="auto"/>
        </w:rPr>
        <w:t>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is our lead reactor development project, and we are currently prioritizing this project over our other microreactors in development. It is a stationary reactor design that targets new markets beyond those targeted by our smaller microreactors, which are designed for more remote locations, such as island and remote communities, remote industry such as mining projects or oil and gas.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will also target larger population centers, larger industrial operations, industrial heat for larger industries, and</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data and artificial intelligence centers for the tech industry.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design incorporates negative reactivity feedback, passive heat removal, passive shutdown characteristics, and uses helium — an inert gas — along with TRISO fuel. These features allow the reactor to safely dissipate heat without operator intervention or external power.</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00"/>
          </w:cols>
          <w:pgMar w:left="1120" w:top="918" w:right="479" w:bottom="272"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On March 29, 2025, we executed a Sponsored Research Agreement Amendment No. 2 with The Board of Trustees of the University of Illinois (referred to for these purposes as “U of I”) that substituted our company as an assignee of the rights and obligations of USNC regarding the sponsored research relationship with The University of Illinois Urbana-Champaign (“UIUC”) for the KRONOS MMR™ project. Under the Sponsored Research Agreement and its amendments (the “UIUC Agreement”), our company, in collaboration with U of I, will construct, obtain regulatory approval for, and deploy a KRONOS MMR™ research and test reactor on the UIUC campus. The UIUC Agreement as entered into with U of I is effective January 1, 2022, and will terminate on February 28, 2027, unless terminated earlier, for convenience by either party by providing 30 days’ advance written notice, for material breach by either party that is uncured within 30 days after providing notice, or immediately upon notice, if (i) the parties cannot agree on an acceptable successor U of I principal investigator for the project (if either of the current U of I principal investigators become unable to perform), (ii) we are declared insolvent, cease (or threaten to cease) to carry on our business, or an administrator or receiver has been appointed over all or part of our assets; (iii) we fail to pay promptly research costs to U of I under a budget not to exceed approximately $3.4 million; or (iv) either party is debarred or excluded from participating in any government program. Under the UIUC Agreement, each party owns the inventions it develops alone, and any inventions developed together are jointly owned. At our request and expense, U of I will file patent applications in the United States and foreign countries for any U of I or joint inventions. With U of I approval, we may control patent application filing, prosecution, and maintenance. We have also received a non-exclusive, non-transferable royalty-free license to practice each U of I invention for commercial purposes within the field of nuclear energy. In mid-April 2025, we launched a recruitment initiative focused on the Midwest region to support our plans to construct, demonstrate and gain regulatory approval for full-scale KRONOS MMR™ Energy System in both the United States and Canada.</w:t>
      </w:r>
    </w:p>
    <w:p>
      <w:pPr>
        <w:spacing w:after="0" w:line="19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late April 2025, the U.S. Nuclear Regulatory Commission (“NRC”) issued its final Safety Evaluation (SE) approving the Fuel Qualification Methodology Topical Report (FQM TR) for the advanced fuel design to be used in the KRONOS MMR™ Energy System. The FQM TR is a technical document that defines the analytical framework and testing approach by which irradiation data and fuel performance information</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will be evaluated to demonstrate that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fuel meets NRC safety and reliability requirements. Approval of the FQM TR does not in itself authorize construction or operation of the KRONOS MMR™ reactor; rather, it represents NRC approval of the methodology that will be used to qualify the fuel in subsequent testing and licensing steps. Our regulatory activities to date have been conducted within the NRC’s pre-application framework, which has included multiple technical submittals, meetings, and NRC staff feedback towards our technical submittals documented on the NRC’s public pre-application docket for UIUC. Our next steps toward submission of a construction permit application for the KRONOS MMR™ reactor consist of several regulatory and technical workstreams that are being conducted in parallel rather than sequentially. These activities include continued NRC pre-application engagement and technical interactions, completion of site characterization activities and development of site-specific inputs (including collecting and preparing location-specific technical, environmental, and engineering information to support regulatory filings and design work for a particular site), preparation of the environmental report required to support a construction permit application, preparation of preliminary safety analyses and application documentation, and initiation and ongoing execution of the NRC-approved fuel qualification program in accordance with its approved scope and phased development plan. With respect to site-specific work, we engaged AECOM, a multi-disciplinary engineering firm, in June 2025 to support site characterization, engineering, environmental analysis, and regulatory planning activities associated with the proposed reactor site at UIUC. The agreement with AECOM has a term of three (3) years, which will be automatically renewed on an annual basis. These activities include site drilling and collection of geological and environmental data required to support a construction permit application. We currently expect to complete the principal site-specific data collection and analyses necessary for an NRC construction application submittal in early 2026. In parallel, we are preparing the environmental report and preliminary safety analysis materials, which are expected to be completed in early 2026 and are required for a construction permit application for a KRONOS MMR™ research reactor. While the environmental report and safety analysis must be submitted with the application, the NRC’s detailed safety and environmental reviews occur after the application is docketed and may involve requests for additional information, audits, hearings, and public participation as part of the NRC’s review process. Following NRC approval of the FQM TR, we have initiated the fuel qualification program using the NRC-approved methodology. Fuel qualification is a staged and iterative process that includes defining test plans, generating and evaluating fuel performance data, and documenting results. We expect to provide sufficient fuel-related information to support submission of a construction permit application based on the approved methodology, while continuing fuel qualification activities during NRC review and in later licensing stages. However, although fuel qualification is important to our business operations, completion of all fuel qualification activities is not required as a condition for the approval or docketing of a construction permit application. Based on the foregoing parallel workstreams, we currently anticipate submitting a construction permit application for the KRONOS MMR™ reactor in the first half of 2026 and receiving the approval in the middle of 2027, subject to the NRC’s review process. Following submission, the NRC will conduct an acceptance review to determine whether the application is sufficiently complete to docket. NRC guidance indicates that this acceptability determination is generally expected to occur within approximately 60 days; however, timing may vary. After docketing, the duration of the NRC’s safety and environmental reviews is not fixed and is not typically completed within a single year. There can be no assurance as to the timing of completion of such reviews. The duration of the NRC’s review process may vary materially based on numerous factors, including, among other things, the completeness and quality of the application at submission, the number and complexity of NRC requests for additional information, the extent to which the application relies on previously reviewed topical reports, NRC staffing and resource availability, the scope and outcome of any required hearings, and the type and complexity of the environmental review, including whether an environmental impact statement is required. Accordingly, the timing of NRC review and any resulting licensing decisions is inherently uncertain and largely outside the Company’s control and any delays in the review process could materially and adversely affect the Company’s business, financial condition, and results of operations.</w:t>
      </w:r>
    </w:p>
    <w:p>
      <w:pPr>
        <w:spacing w:after="0" w:line="2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KRONOS MMR™ reactor at UIUC is being developed as a research microreactor intended primarily for demonstration, testing, and research applications, but the reactor will be a full-scale system analogous to the commercial KRONOS MMR™ reactor we are planning to sell and deploy post receipt of a construction permit issued by the NRC, followed by an operating license. The UIUC project will also serve as the reactor which the NRC will be evaluating as part of its licensing process for the entire system. Subject to the NRC review timeline, completion of required safety and environmental reviews, construction activities, and successful commissioning, we expect the KRONOS MMR™ to achieve initial operation or research availability around 2030 to 2031. The KRONOS MMR™ reactor is not expected to be a near-term commercial power product and is intended to support technology demonstration, fuel qualification, and design validation activities applicable to our broader reactor portfolio.</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diversity of our products in development positions us to capitalize on growing financial investment and societal momentum driving advanced nuclear energy technologies on a global scale across multiple different areas. We will leverage our world-class technical team to analyze and optimize these technologies, key components, and intellectual property, before integrating them into its</w:t>
      </w:r>
    </w:p>
    <w:p>
      <w:pPr>
        <w:sectPr>
          <w:pgSz w:w="11900" w:h="16838" w:orient="portrait"/>
          <w:cols w:equalWidth="0" w:num="1">
            <w:col w:w="10300"/>
          </w:cols>
          <w:pgMar w:left="1120" w:top="918" w:right="479" w:bottom="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frameworks and ongoing innovative efforts. We also intend to build upon and strengthen the extensive industry relationships that USNC established during its operations, including those with UIUC and the Canadian Government to build prototype reactors. Once operational in the future, our plan is to be able to sell a majority of the energy produced at the UIUC using the KRONOS MMR™ reactor, with UIUC retaining a portion for its own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-559435</wp:posOffset>
            </wp:positionV>
            <wp:extent cx="7136130" cy="721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219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1120" w:top="121"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Our Other Microreactor Projects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LOKI MMR™ is designed as a high-temperature, gas-cooled reactor utilizing TRISO fuel and a closed Brayton-cycle power conversion system, with electrical output scalable from approximately 300 kWe to 1 MWe for terrestrial applications and scalable configurations suitable for space missions. Our LOKI MMR™ reactor directly benefits from the advancement and development of the KRONOS MMR™ reactor, as both share similar technological features. Accordingly, the development timeline of LOKI MMR™ reactor is expected to be analogous to that of KRONOS MMR™ reactor.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portable LOKI MMR™ reactor will target multiple applications, including remote locations unsuitable for larger reactor systems, such as islands; remote industrial operations, such as mining and oil and gas projects; and extra-terrestrial applications that require consistent power. The commercial deployment of the LOKI MMR™ reactor is expected to depend primarily on demonstrated market demand and customer interest, which may incentivize us to invest in the construction of a prototype or demonstration reactor and to initiate the licensing process with the NRC. As of the date of this prospectus, we are still in the process of assessing and developing demonstration, licensing and commercial launch timelines for this reactor. Our current development plan for LOKI MMR™ includes continued design refinement, component and subsystem testing, and non-nuclear demonstration activities, followed by a potential ground-based demonstration. Based on current planning assumptions and subject to funding availability, regulatory review and/or approval process, technical progress and other relevant factors, we are targeting initial non-nuclear and component-level testing activities in the late 2020s, with the objective of achieving a ground demonstration as early as 2030 or 2031. We derived this timeline using a critical-path planning approach, starting from known near-term licensing and project preparation milestones and then sequencing downstream workstreams that must occur prior to component-level testing and a ground demonstration.</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particular, our current planning includes submission of a Construction Permit Application (“CPA”) to the NRC in the first half of 2026 for the UIUC reactor construction project. From that milestone, we then incorporated estimated durations for:</w:t>
      </w:r>
    </w:p>
    <w:p>
      <w:pPr>
        <w:spacing w:after="0" w:line="189" w:lineRule="exact"/>
        <w:rPr>
          <w:sz w:val="20"/>
          <w:szCs w:val="20"/>
          <w:color w:val="auto"/>
        </w:rPr>
      </w:pPr>
    </w:p>
    <w:p>
      <w:pPr>
        <w:ind w:left="440" w:hanging="437"/>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NRC acceptance and review processes (including requests for additional information and iterative engagement);</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detailed design and safety analysis sufficient to support procurement and construction;</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and fabrication lead times for specialized components and systems;</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non-nuclear test readiness (including component test campaigns, quality program readiness, and test facility integration); and</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integration, and commissioning preparation steps needed prior to a ground demonstration.</w:t>
      </w:r>
    </w:p>
    <w:p>
      <w:pPr>
        <w:spacing w:after="0" w:line="2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“late 2020s” and “2030 or 2031” targets described above represent our management’s current estimate of achievable timing if critical path items proceed as planned, but are not intended as a guarantee of completion by those dates. These timelines remain under our review and are dependent on external programmatic decisions. The LOKI MMR™ reactor is not currently expected to be a near-term commercial power product for civilian grid applications. Rather, we view LOKI MMR™ as a specialized system intended for government, defense, space, and remote deployment use cases, with commercialization dependent on successful demonstration, mission-specific regulatory approvals, and customer sponsorship. Any future commercial deployment of the LOKI MMR™ platform would occur only after completion of required testing, demonstration, and regulatory authorization processes, the timing of which remains uncertain and largely outside the Company’s control. We expect to commercially launch the LOKI MMR™ reactor in the 2030s.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ZEUS™ and ODIN™ microreactors have moved from the design stages to physical test work stages, with materials testing, irradiation testing, and initial rig construction currently underway, to ensure the accuracy of our modelled reactors and to optimize the dimensions and composition of the systems. We have conducted and completed external design audits on the ZEUS™ and ODIN™ reactor designs to provide external validation for our designs. The design audits for those reactors were conducted and completed by the Idaho National Laboratory (“INL”). Currently, we are actively engaged in the engineering development and design optimization of the ZEUS™ reactor, while undergoing a proposed sale process for ODIN™ technology. The ZEUS™ reactor is being developed as a transportable, solid-core microreactor intended for remote, off-grid, and defense-related applications. We are evaluating the most effective means of tailoring our technology to address specific key markets, particularly military and remote applications that require smaller power outputs, for which we believe the ZEUS™ reactor is suited to supply. Upon the conclusion of these evaluations, we plan to accelerate our development of the ZEUS™ technology, including expanding rig test work and collaborating with identified end users to advance a demonstration reactor for licensing. We have had informal meetings with the NRC, informing them of the status of our ZEUS™ microreactor design and the estimated internal timelines for our microreactor developments, with an understanding that definite timelines will be provided once available, to allow the NRC to arrange the necessary personnel to oversee the microreactor licensing process. We increased the size of the technical teams during 2024 and 2025 to expedite the development of the reactor systems, as well as recruiting former NRC personnel to oversee our regulatory licensing processes, and to engage directly with the NRC to facilitate the commercialization planning. In March 2025, we announced that we had assembled the first reactor core hardware of our ZEUS™ microreactor for initial non-nuclear testing. We believe there is potential for our ZEUS™ microreactor to be commercially launched in the 2030s. However, the actual commercialization timing will depend on regulatory requirements applicable to the specific deployment environment, customer site characteristics, and applicable federal, state, or international approvals.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Sale of ODIN™ Reactor Project</w:t>
      </w:r>
    </w:p>
    <w:p>
      <w:pPr>
        <w:spacing w:after="0" w:line="22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Notwithstanding the progress made with ODIN™ technology to date, given our corporate emphasis on the KRONOS MMR™ reactor as our lead project, and the fact that all of our reactor designs, except for the ODIN™ reactor, are within the high-temperature gas-cooled reactor family, we are considering strategic alternatives for ODIN. In September 2025, we signed a letter of intent for the proposed sale of our ODIN™ microreactor design and all associated intellectual property to Cambridge Atom Works, a United Kingdom based advanced reactor developer who is already developing the ODIN™ technology for us on an outsourced consulting basis. This letter of intent called for a total purchase price of $6.2 million, with a $250,000 upfront non-refundable down payment to us and a $5.95 million payment in 2026 as well as future low single-digit royalties payable to us based on net sales if and when ODIN™ technology is commercialized. As of the date of this prospectus, the transaction remains subject to execution of definitive documentation and the satisfaction of customary closing conditions. This</w:t>
      </w:r>
    </w:p>
    <w:p>
      <w:pPr>
        <w:sectPr>
          <w:pgSz w:w="11900" w:h="16838" w:orient="portrait"/>
          <w:cols w:equalWidth="0" w:num="1">
            <w:col w:w="10300"/>
          </w:cols>
          <w:pgMar w:left="1120" w:top="916" w:right="479" w:bottom="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sale is intended to monetize our investment in the project to date and enable us to allocate more time and resources to the KRONOS MMR™ reactor and our other designs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-296545</wp:posOffset>
            </wp:positionV>
            <wp:extent cx="7136130" cy="1664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6497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Developments Regarding Our Microreactors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August 2024, we purchased a 14,000 sq. ft., 2-story building in Oak Ridge, Tennessee for $1.7 million to house our Nuclear technology branch (“Nuclear Technology Branch”). Michael Norato, Ph.D., an INL and Department of Energy (“DOE”) veteran, was appointed as our Director of Nuclear Facilities and Infrastructure in December 2024. Dr. Norato will oversee the construction, development and licensing of our key facilities, including our 14,000 sq. ft. Oak Ridge, Tennessee Nuclear Technology Branch, as well as our future test bed reactor sites for experiments related to our ZEUS™ microreactor currently in development. He will also lead the establishment of deconversion and fuel processing facilities, helping to further our goal of being a vertically integrated leader in the U.S. nuclear fuel cycle.</w:t>
      </w:r>
    </w:p>
    <w:p>
      <w:pPr>
        <w:spacing w:after="0" w:line="200" w:lineRule="exact"/>
        <w:rPr>
          <w:sz w:val="20"/>
          <w:szCs w:val="20"/>
          <w:color w:val="auto"/>
        </w:rPr>
      </w:pPr>
    </w:p>
    <w:p>
      <w:pPr>
        <w:spacing w:after="0" w:line="2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1120" w:top="121" w:right="499" w:bottom="1440" w:gutter="0" w:footer="0" w:header="0"/>
        </w:sectPr>
      </w:pPr>
    </w:p>
    <w:bookmarkStart w:id="12" w:name="page13"/>
    <w:bookmarkEnd w:id="12"/>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r>
    </w:p>
    <w:p>
      <w:pPr>
        <w:jc w:val="both"/>
        <w:ind w:left="860"/>
        <w:spacing w:after="0" w:line="253" w:lineRule="auto"/>
        <w:rPr>
          <w:sz w:val="20"/>
          <w:szCs w:val="20"/>
          <w:color w:val="auto"/>
        </w:rPr>
      </w:pPr>
      <w:r>
        <w:rPr>
          <w:rFonts w:ascii="Times New Roman" w:cs="Times New Roman" w:eastAsia="Times New Roman" w:hAnsi="Times New Roman"/>
          <w:sz w:val="18"/>
          <w:szCs w:val="18"/>
          <w:color w:val="auto"/>
        </w:rPr>
        <w:t>In January 2025, we entered into a lease for a facility in Westchester County, New York where we have established a purpose-built facility to assemble and demonstrate the operation and viability of several non-nuclear parts and components of our nuclear microreactors in development. In February 2025, we engaged aRobotics Company, a leading innovator in robotics fabrication, inspection, engineering and testing, to oversee the multimillion dollar build out of this facility. aRobotics has also assisted us with the fabrication of key components for the facility. We committed approximately $3 million to retrofit this facility. In May 2025, we announced the completion of our retrofit of our demonstration facility and the commencement of operations there. Our demonstration facility is currently supporting ongoing work on our SBIR Phase III project for our Annular Linear Induction Pump (ALIP) technology, which has been assembled onto a test loop and integrated to a controllable test setup for variable design validation at the facility. ALIP technology is expected to be completed, through the successful completion of SBIR Phase III project, to effectively launch the ALIP in 2026. We expect to complete the physical demonstration work for ALIP in 2026, however, the timeline to commercialization is dependent on market demand and the successful completion of SBIR Phase III project. The market demand will to some extent dictate our production numbers of the pump system and the resources we allocate to the system to support the manufacturing demand.</w:t>
      </w:r>
    </w:p>
    <w:p>
      <w:pPr>
        <w:spacing w:after="0" w:line="187" w:lineRule="exact"/>
        <w:rPr>
          <w:sz w:val="20"/>
          <w:szCs w:val="20"/>
          <w:color w:val="auto"/>
        </w:rPr>
      </w:pPr>
    </w:p>
    <w:p>
      <w:pPr>
        <w:jc w:val="both"/>
        <w:ind w:left="860"/>
        <w:spacing w:after="0" w:line="252" w:lineRule="auto"/>
        <w:rPr>
          <w:sz w:val="20"/>
          <w:szCs w:val="20"/>
          <w:color w:val="auto"/>
        </w:rPr>
      </w:pPr>
      <w:r>
        <w:rPr>
          <w:rFonts w:ascii="Times New Roman" w:cs="Times New Roman" w:eastAsia="Times New Roman" w:hAnsi="Times New Roman"/>
          <w:sz w:val="18"/>
          <w:szCs w:val="18"/>
          <w:color w:val="auto"/>
        </w:rPr>
        <w:t>In July 2025, we announced that we will provide critical engineering and environmental services for our planned construction and deployment activities at the UIUC for our KRONOS MMR™ Energy System. As part of this initiative, we have engaged AECOM, a global infrastructure leader, under a master services agreement to support site-specific engineering, environmental analysis and regulatory planning at UIUC. The agreement lays the groundwork for site-specific engineering in preparation for deploying the first KRONOS MMR™ Energy System at UIUC, a globally recognized hub for nuclear research and innovation. Planned activities include detailed environmental reviews, regulatory pathway planning, and site drilling to obtain the geological data required for submitting a construction permit application to the NRC. Following completion of the UIUC drilling and site characterization program, we obtained the geotechnical information needed to support our construction permit application to the NRC. We are currently completing the final stages of this application and, based on our current progress and planning assumptions, we estimate that we will submit the application in first half of 2026. If the application is submitted as anticipated, we currently estimate that the NRC’s review and construction permit issuance process could take approximately 12 months, although the actual timing is subject to NRC review, requests for additional information, and other factors outside of our control. If a construction permit is issued, it would allow us to begin construction activities at the UIUC site, which we currently estimate could occur in 2027. Receipt of a construction permit would not, by itself, authorize operation of the reactor, and additional regulatory approvals and project milestones would be required prior to any operational or commercial deployment. However, there can be no assurance that we will be able to meet this anticipated timeline, as the submission is subject to the completion of ongoing technical, regulatory, and operational preparations, which may be affected by factors beyond our control. Notwithstanding the foregoing, this is expected to be the first construction permit for a microreactor issued in the United States. The permit application will not incur any government fees, as the KRONOS™ reactor, due to its location at UIUC, qualifies for a fee exemption under applicable regulations due to its use for research purposes.</w:t>
      </w:r>
    </w:p>
    <w:p>
      <w:pPr>
        <w:spacing w:after="0" w:line="188" w:lineRule="exact"/>
        <w:rPr>
          <w:sz w:val="20"/>
          <w:szCs w:val="20"/>
          <w:color w:val="auto"/>
        </w:rPr>
      </w:pPr>
    </w:p>
    <w:p>
      <w:pPr>
        <w:jc w:val="both"/>
        <w:ind w:left="860"/>
        <w:spacing w:after="0" w:line="252" w:lineRule="auto"/>
        <w:rPr>
          <w:sz w:val="20"/>
          <w:szCs w:val="20"/>
          <w:color w:val="auto"/>
        </w:rPr>
      </w:pPr>
      <w:r>
        <w:rPr>
          <w:rFonts w:ascii="Times New Roman" w:cs="Times New Roman" w:eastAsia="Times New Roman" w:hAnsi="Times New Roman"/>
          <w:sz w:val="18"/>
          <w:szCs w:val="18"/>
          <w:color w:val="auto"/>
        </w:rPr>
        <w:t>In tandem with geological characterization work at the UIUC site that commenced in the fourth quarter of 2025, we launched a recruitment initiative in the second half of 2025 focused on the Midwest region to support our plans to construct, demonstrate and gain regulatory approval for full-scale KRONOS MMR™ in both the United States and Canada. This workforce build-out will consolidate the expertise and provide the personnel necessary to complete the construction permit application and begin construction of the first KRONOS™ reactor prototype on the UIUC campus shortly thereafter. To support this effort, on July 30, 2025, we announced our acquisition of a 2.75-acre land and building package in Oak Brook, Illinois to serve as a regional demonstration and office facility to support the development of the KRONOS MMR™ reactor. This facility is intended to support engineering, component manufacturing and assembly, prototype fabrication, non-nuclear testing, research and development activities, and administrative functions. The timing, scale, and configuration of the Illinois facility will depend on multiple factors, including site selection, permitting, availability of skilled labor, supply chain readiness, financing, and alignment with our regulatory and commercialization milestones. We are currently undertaking refurbishment of the facility to enable our staff to occupy the Illinois facility in first half of 2026, in accordance with timelines provided by our contractors. Following the relocation of our staff, we plan to continue a phased buildout of the facility to incorporate additional manufacturing capabilities, aligned with the advancement of our reactor programs. Initial facility capabilities may precede full commercial manufacturing capacity and may focus on research, development, and prototype support, with manufacturing capabilities expanded over time as regulatory approvals such as construction, manufacturing and safety are obtained and commercial demand materializes. There can be no assurance that we will establish the facility on the anticipated timeline, or at all. Delays in regulatory approvals or changes in market conditions, customer demand, or strategic priorities could require us to modify, defer, or abandon the planned facility. Any delay, modification, or failure to establish the facility could materially and adversely affect our business strategy, growth prospects, financial condition, and results of operations.</w:t>
      </w:r>
    </w:p>
    <w:p>
      <w:pPr>
        <w:spacing w:after="0" w:line="188" w:lineRule="exact"/>
        <w:rPr>
          <w:sz w:val="20"/>
          <w:szCs w:val="20"/>
          <w:color w:val="auto"/>
        </w:rPr>
      </w:pPr>
    </w:p>
    <w:p>
      <w:pPr>
        <w:jc w:val="both"/>
        <w:ind w:left="860"/>
        <w:spacing w:after="0" w:line="266" w:lineRule="auto"/>
        <w:rPr>
          <w:sz w:val="20"/>
          <w:szCs w:val="20"/>
          <w:color w:val="auto"/>
        </w:rPr>
      </w:pPr>
      <w:r>
        <w:rPr>
          <w:rFonts w:ascii="Times New Roman" w:cs="Times New Roman" w:eastAsia="Times New Roman" w:hAnsi="Times New Roman"/>
          <w:sz w:val="18"/>
          <w:szCs w:val="18"/>
          <w:color w:val="auto"/>
        </w:rPr>
        <w:t>In September 2025, we announced that we signed a 10-year Cooperative Research and Development Agreement (“CRADA”) with the INL. With this agreement, we plan to accelerate our advanced microreactor programs, including the stationary KRONOS MMR™ and portable LOKI MMR™ systems.</w:t>
      </w:r>
    </w:p>
    <w:p>
      <w:pPr>
        <w:spacing w:after="0" w:line="176" w:lineRule="exact"/>
        <w:rPr>
          <w:sz w:val="20"/>
          <w:szCs w:val="20"/>
          <w:color w:val="auto"/>
        </w:rPr>
      </w:pPr>
    </w:p>
    <w:p>
      <w:pPr>
        <w:jc w:val="both"/>
        <w:ind w:left="860"/>
        <w:spacing w:after="0" w:line="258" w:lineRule="auto"/>
        <w:rPr>
          <w:sz w:val="20"/>
          <w:szCs w:val="20"/>
          <w:color w:val="auto"/>
        </w:rPr>
      </w:pPr>
      <w:r>
        <w:rPr>
          <w:rFonts w:ascii="Times New Roman" w:cs="Times New Roman" w:eastAsia="Times New Roman" w:hAnsi="Times New Roman"/>
          <w:sz w:val="18"/>
          <w:szCs w:val="18"/>
          <w:color w:val="auto"/>
        </w:rPr>
        <w:t>On October 7, 2025, we announced that, with the support of Governor JB Pritzker and the Illinois Department of Commerce and Economic Opportunity, we will establish a manufacturing and research and development facility in Illinois. We plan to make an investment of more than $12 million with the support from the Reimagining Energy and Vehicles in Illinois (REV Illinois) program, which is expected to enable us to establish our operations and create 50 new full-time jobs in Illinois. For this effort, we will receive $6.8 million in incentive awards from the REV Illinois program.</w:t>
      </w:r>
    </w:p>
    <w:p>
      <w:pPr>
        <w:spacing w:after="0" w:line="183" w:lineRule="exact"/>
        <w:rPr>
          <w:sz w:val="20"/>
          <w:szCs w:val="20"/>
          <w:color w:val="auto"/>
        </w:rPr>
      </w:pPr>
    </w:p>
    <w:p>
      <w:pPr>
        <w:jc w:val="both"/>
        <w:ind w:left="860"/>
        <w:spacing w:after="0" w:line="258" w:lineRule="auto"/>
        <w:rPr>
          <w:sz w:val="20"/>
          <w:szCs w:val="20"/>
          <w:color w:val="auto"/>
        </w:rPr>
      </w:pPr>
      <w:r>
        <w:rPr>
          <w:rFonts w:ascii="Times New Roman" w:cs="Times New Roman" w:eastAsia="Times New Roman" w:hAnsi="Times New Roman"/>
          <w:sz w:val="18"/>
          <w:szCs w:val="18"/>
          <w:color w:val="auto"/>
        </w:rPr>
        <w:t>Significant capital will be needed to support our facility construction, licensing, fuel qualification testing, regulatory compliance, prototype construction, and workforce expansion for the development of our microreactors. We estimate that the capital costs needed to construct prototype KRONOS MMR™ reactors at the UIUC and Canada over the next several years could be around $300 million to $350 million per reactor. This range reflects inherent uncertainty in building a first-of-a-kind reactor due to several factors that can result in a material increase to these estimates, including site specific factors, the timing</w:t>
      </w:r>
    </w:p>
    <w:p>
      <w:pPr>
        <w:sectPr>
          <w:pgSz w:w="11900" w:h="16919" w:orient="portrait"/>
          <w:cols w:equalWidth="0" w:num="1">
            <w:col w:w="9960"/>
          </w:cols>
          <w:pgMar w:left="1440" w:top="918" w:right="499" w:bottom="0" w:gutter="0" w:footer="0" w:header="0"/>
        </w:sectPr>
      </w:pPr>
    </w:p>
    <w:bookmarkStart w:id="13" w:name="page14"/>
    <w:bookmarkEnd w:id="13"/>
    <w:p>
      <w:pPr>
        <w:jc w:val="both"/>
        <w:ind w:left="860"/>
        <w:spacing w:after="0" w:line="266" w:lineRule="auto"/>
        <w:rPr>
          <w:sz w:val="20"/>
          <w:szCs w:val="20"/>
          <w:color w:val="auto"/>
        </w:rPr>
      </w:pPr>
      <w:r>
        <w:rPr>
          <w:rFonts w:ascii="Times New Roman" w:cs="Times New Roman" w:eastAsia="Times New Roman" w:hAnsi="Times New Roman"/>
          <w:sz w:val="18"/>
          <w:szCs w:val="18"/>
          <w:color w:val="auto"/>
        </w:rPr>
        <w:t>and scope of project development and regulatory licensing and supply chain considerations. Subsequent reactors’ capital costs are expected to decline substantially due to supply chain scaling for mass production of components, factory fabrication, modular assembly, and multiple deployments.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-424815</wp:posOffset>
            </wp:positionV>
            <wp:extent cx="7136130" cy="567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67690"/>
                    </a:xfrm>
                    <a:prstGeom prst="rect">
                      <a:avLst/>
                    </a:prstGeom>
                    <a:noFill/>
                  </pic:spPr>
                </pic:pic>
              </a:graphicData>
            </a:graphic>
          </wp:anchor>
        </w:drawing>
      </w:r>
    </w:p>
    <w:p>
      <w:pPr>
        <w:spacing w:after="0" w:line="39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14" w:name="page15"/>
    <w:bookmarkEnd w:id="14"/>
    <w:p>
      <w:pPr>
        <w:jc w:val="both"/>
        <w:ind w:left="321" w:right="20" w:hanging="321"/>
        <w:spacing w:after="0" w:line="256" w:lineRule="auto"/>
        <w:tabs>
          <w:tab w:leader="none" w:pos="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Fuel Processing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subsidiary, HALEU Energy Fuel Inc., and in coordination with the DOE, we are seeking to develop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low-enriched uranium (LEU) and high-assay low-enriched uranium (HALEU) fuel supply chain to supply fuel not only for our own reactors but also to the broader advanced nuclear reactor industry. While we may engage in this activity through our related party LIST as described below, as of the date of this prospectus, we have tentatively identified the site where we might construct the facilities and have begun to build the team to design and develop these facilities. However, while we hope to launch our fuel processing business in the second half of 2026, as of the date of this prospectus, we have not yet commercially launched our fuel processing business. There can be no assurance that we will proceed with the launch as currently anticipated.</w:t>
      </w:r>
    </w:p>
    <w:p>
      <w:pPr>
        <w:spacing w:after="0" w:line="186" w:lineRule="exact"/>
        <w:rPr>
          <w:rFonts w:ascii="Times New Roman" w:cs="Times New Roman" w:eastAsia="Times New Roman" w:hAnsi="Times New Roman"/>
          <w:sz w:val="18"/>
          <w:szCs w:val="18"/>
          <w:color w:val="auto"/>
        </w:rPr>
      </w:pPr>
    </w:p>
    <w:p>
      <w:pPr>
        <w:jc w:val="both"/>
        <w:ind w:left="321"/>
        <w:spacing w:after="0" w:line="21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launch of this business can be established through multiple avenues, which are all currently under examination by management. We may consider investing in existing pilot conversion operations, where U</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O</w:t>
      </w:r>
      <w:r>
        <w:rPr>
          <w:rFonts w:ascii="MS PGothic" w:cs="MS PGothic" w:eastAsia="MS PGothic" w:hAnsi="MS PGothic"/>
          <w:sz w:val="18"/>
          <w:szCs w:val="18"/>
          <w:color w:val="auto"/>
        </w:rPr>
        <w:t>₈</w:t>
      </w:r>
      <w:r>
        <w:rPr>
          <w:rFonts w:ascii="Times New Roman" w:cs="Times New Roman" w:eastAsia="Times New Roman" w:hAnsi="Times New Roman"/>
          <w:sz w:val="18"/>
          <w:szCs w:val="18"/>
          <w:color w:val="auto"/>
        </w:rPr>
        <w:t xml:space="preserve"> is converted into uranium hexafluoride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This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xml:space="preserve"> would then undergo an enrichment process before being deconverted and fabricated into nuclear fuel. Alternatively, we may pursue licensing existing conversion technologies to build our own conversion facility. Management is also examining the future acquisition of a uranium mining operation to support our long-term vertically integrated strategy (although we have not entered into any material definitive agreements as of the date of this prospectus), any of which would signify progress in advancing our strategy to de-risk our fuel supply chain. We are actively evaluating existing pilot conversion facilities in which we may acquire an equity interest through investment in their development, and we are currently conducting the necessary due diligence, although as of the date of this prospectus, we have not entered into any definitive agreement for such acquisition. In parallel, we are exploring the collaboration opportunities with companies that license conversion technology to assess the potential for the longer-term construction of additional fuel facilities. We have made a $2 million strategic investment in, and entered into a collaboration with, a laser-based uranium enrichment technology company, LIS Technologies Inc. (“LIST”) (which is a related party), to support the development of their technology. Through this investment and related collaboration, we aim to assist in advancing LIST’s technologies to secure a reliable low enriched uranium fuel supply for our future operations and the broader nuclear energy industry. The parties intend that LIST will provide us with enriched uranium hexafluoride (UF6) at no cost to be fabricated and sold to customers, with LIST to receive compensation as part of a profit-sharing arrangement to be agreed upon between the companies in the future. To support LIST, we intend to construct the back end facilities alongside LIST’s enrichment facility, including the deconversion facility. We also leased 7,000 square feet of space at our Nuclear Technology Center in Oak Ridge, Tennessee to LIST. Our relationship with LIST is considered a related party transaction since certain of our executive directors and officers, including Jay Jiang Yu and Dr. Tsun Yee Law, also serve as directors and officers for LIST, and James Walker and Jaisun Garcha serve as consultants to LIST. Our investment in LIST was unanimously approved by all of our disinterested independent directors.</w:t>
      </w:r>
    </w:p>
    <w:p>
      <w:pPr>
        <w:spacing w:after="0" w:line="206" w:lineRule="exact"/>
        <w:rPr>
          <w:rFonts w:ascii="Times New Roman" w:cs="Times New Roman" w:eastAsia="Times New Roman" w:hAnsi="Times New Roman"/>
          <w:sz w:val="18"/>
          <w:szCs w:val="18"/>
          <w:color w:val="auto"/>
        </w:rPr>
      </w:pPr>
    </w:p>
    <w:p>
      <w:pPr>
        <w:jc w:val="both"/>
        <w:ind w:left="321"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announced that LIST and our company were selected by the DOE to participate as one of six contract awardees in the DOE’s Low-Enriched Uranium (LEU) Enrichment Acquisition Program (“LEU Acquisition Program”). Under the contract awarded to LIST, LIST was selected as the prime contractor, with our company as the key subcontractor bringing our technical and regulatory expertise in advanced nuclear solutions to the collaboration. LIST will oversee the development of the primary uranium enrichment processes using its novel laser technology, while our company will contribute towards development in the areas of conversion, deconversion, fuel fabrication, and fuel transportation. The total overall amount appropriated under the LEU Acquisition Program across all six contract awardees is anticipated to be $3.4 billion, to be awarded by the DOE via agreed to task orders each having a minimum value of $2 million. We believe that participation in the $3.4 billion LEU Acquisition Program provides technical validation and potential federal contracts to support our operations.</w:t>
      </w:r>
    </w:p>
    <w:p>
      <w:pPr>
        <w:spacing w:after="0" w:line="188" w:lineRule="exact"/>
        <w:rPr>
          <w:rFonts w:ascii="Times New Roman" w:cs="Times New Roman" w:eastAsia="Times New Roman" w:hAnsi="Times New Roman"/>
          <w:sz w:val="18"/>
          <w:szCs w:val="18"/>
          <w:color w:val="auto"/>
        </w:rPr>
      </w:pPr>
    </w:p>
    <w:p>
      <w:pPr>
        <w:jc w:val="both"/>
        <w:ind w:left="321"/>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that we have signed a memorandum of understanding with UrAmerica Ltd. (“UrAmerica”), a private exploration company with a package of uranium and other critical metals licenses primarily in Chubut Province, Argentina. The newly signed memorandum formalizes the discussions that we initiated with UrAmerica to explore strategic development across Argentina’s uranium-fuel supply chain. We are currently working together to evaluate specific opportunities that could aid us in securing a dependable source of material for future supply chain options. Such evaluations may lead to the signing of definitive agreements between us and UrAmerica related to particular projects. Through this memorandum, we and UrAmerica aim to build the mining and milling capacities of the uranium supply chain in Argentina with the intention to be a part of the uranium fuel cycle exports into the U.S. Under the memorandum, we will pursue (i) favorable uranium offtake agreements, (ii) potential investments in mineral production and (iii) fuel-cycle infrastructure, and (iv) future joint ventures or related collaboration. One of our goals in entering into the memorandum is to help modernize Argentina’s nuclear sector while strengthening U.S. energy security by sourcing materials for nuclear fuel from a reliable partner.</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1"/>
          </w:cols>
          <w:pgMar w:left="799" w:top="914" w:right="479" w:bottom="1440" w:gutter="0" w:footer="0" w:header="0"/>
        </w:sectPr>
      </w:pPr>
    </w:p>
    <w:bookmarkStart w:id="15" w:name="page16"/>
    <w:bookmarkEnd w:id="15"/>
    <w:p>
      <w:pPr>
        <w:jc w:val="both"/>
        <w:ind w:left="640" w:hanging="321"/>
        <w:spacing w:after="0" w:line="25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493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9493885"/>
                    </a:xfrm>
                    <a:prstGeom prst="rect">
                      <a:avLst/>
                    </a:prstGeom>
                    <a:noFill/>
                  </pic:spPr>
                </pic:pic>
              </a:graphicData>
            </a:graphic>
          </wp:anchor>
        </w:drawing>
        <w:t>Fuel Transportation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transportation business will build on existing work completed at INL, Oak Ridge National Laboratory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(“ORNL”) and Pacific Northwest National Laboratory (“PNNL”), the world’s premier U.S.-backed nuclear research facilities. As of the date of this prospectus, we have not yet commercially launched our fuel transportation business. We expect to launch our fuel transportation business by 2028. However, the timeline could be impacted by progress in acquiring additional assets and businesses within the nuclear transport industry to provide our company with the capabilities to internally move the materials, reactors, and fuels inherent within a reactor deployment operation, and as of the date of this prospectus, we have not entered into any definitive agreements for such acquisition. Accordingly, there can be no assurance that we will be able to launch the business as currently anticipated, or that such launch will occur by 2028, if at all.</w:t>
      </w:r>
    </w:p>
    <w:p>
      <w:pPr>
        <w:spacing w:after="0" w:line="188" w:lineRule="exact"/>
        <w:rPr>
          <w:rFonts w:ascii="Times New Roman" w:cs="Times New Roman" w:eastAsia="Times New Roman" w:hAnsi="Times New Roman"/>
          <w:sz w:val="18"/>
          <w:szCs w:val="18"/>
          <w:color w:val="auto"/>
        </w:rPr>
      </w:pPr>
    </w:p>
    <w:p>
      <w:pPr>
        <w:jc w:val="both"/>
        <w:ind w:left="6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fuel transportation business is still at the development stage as of the date of this prospectus. We received an exclusive license for a high capacity HALEU fuel transportation basket design in April 2024, which will form the basis for a new transportation package to complement a</w:t>
      </w:r>
    </w:p>
    <w:p>
      <w:pPr>
        <w:jc w:val="both"/>
        <w:ind w:left="640"/>
        <w:spacing w:after="0" w:line="216" w:lineRule="exact"/>
        <w:rPr>
          <w:sz w:val="20"/>
          <w:szCs w:val="20"/>
          <w:color w:val="auto"/>
        </w:rPr>
      </w:pPr>
      <w:r>
        <w:rPr>
          <w:rFonts w:ascii="Times New Roman" w:cs="Times New Roman" w:eastAsia="Times New Roman" w:hAnsi="Times New Roman"/>
          <w:sz w:val="18"/>
          <w:szCs w:val="18"/>
          <w:color w:val="auto"/>
        </w:rPr>
        <w:t>complete transportation system. This license grants us, as the licensee, exclusive rights for the use and development of the technology. In addition, the licensor is not permitted to license the technology to any other parties within the specified scope. We believe this technology is the most advanced concept in the United States for moving HALEU in commercial quantities. We are currently conducting work to modify the design to accommodate a variety of different fuel forms, so we are positioned to move fuel for both of our reactors and to enable us to provide transportation services to any nuclear company looking to move commercial quantities of fuel. In September 2024, we signed an agreement with GNS Gesellschaft für Nuklear-Service mbH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also seek to acquire assets and existing businesses within the nuclear transportation industry to provide our company with the capabilities to internally move the materials, reactors, and fuels inherent within a reactor deployment operation, although we have not entered into any definitive agreements as of the date of this prospectus. We intend to obtain NRC certification for our high-capacity HALEU transportation system to move commercial quantities of HALEU fuel around North America and internationally, complete further engineering work to modify designs for multiple fuel types, including UO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(uranium dioxide), UN (uranium nitride), UZrH (uranium zirconium hydride), UF (uranium-fluoride based fuels), and TRISO (tristructural isotropic particle fuel). As of the date of this prospectus, we have adapted our initially licensed intellectual property to accommodate additional fuel forms and have also begun evaluating broader transportation system development that may ultimately enable us to offer an integrated package capable of transporting multiple types of fuel for our commercial partners. If this business is developed and commercialized, we believe this product will serve as the basis for a domestic HALEU transportation company capable of providing commercial quantities of HALEU fuel. We hope to put our fuel transportation business into operation by 2028. We have also brought on a former United Parcel Service (UPS) executive who works for our fuel transportation subsidiary to assist in growing the transportation business around our technology.</w:t>
      </w:r>
    </w:p>
    <w:p>
      <w:pPr>
        <w:spacing w:after="0" w:line="206"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18"/>
          <w:szCs w:val="18"/>
          <w:color w:val="auto"/>
        </w:rPr>
        <w:t>Development and NRC certification of the transportation system will require funding for engineering and regulatory licensing preparation. We plan to raise additional capital, including through our $400 million at-the-market offering program, to acquire logistics assets or companies to internalize transport capabilities, although as of the date of this prospectus, we have not entered into any definitive agreements for such acquisitions.</w:t>
      </w:r>
    </w:p>
    <w:p>
      <w:pPr>
        <w:spacing w:after="0" w:line="176" w:lineRule="exact"/>
        <w:rPr>
          <w:sz w:val="20"/>
          <w:szCs w:val="20"/>
          <w:color w:val="auto"/>
        </w:rPr>
      </w:pPr>
    </w:p>
    <w:p>
      <w:pPr>
        <w:ind w:left="640" w:right="20" w:hanging="321"/>
        <w:spacing w:after="0" w:line="25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Consultation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also plan on providing nuclear service support and consultation services for the expanding and resurgent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nuclear energy industry in 2026, both domestically and internationally. Regulatory approval is not required to provide such services. This business opportunity represents our nearest term revenue generating opportunity. As of the date of this prospectus, we have not yet formally launched our nuclear consultation business, although we have generated a small amount of revenue from providing services to Digihost as described below. Our goal is to start providing nuclear service support and consultation services for the nuclear energy industry in 2026 based on the estimated time we will take to conclude the acquisition evaluations and consummate the acquisitions. However, this timeline is subject to various uncertainties, including potential acquisitions of similar business (described below), and market-related factors, any of which may materially affect both the feasibility and timing of the launch. Accordingly, there can be no assurance that we will be able to launch the business as currently anticipated, or that such launch will occur in 2026, if at all.</w:t>
      </w:r>
    </w:p>
    <w:p>
      <w:pPr>
        <w:spacing w:after="0" w:line="192" w:lineRule="exact"/>
        <w:rPr>
          <w:rFonts w:ascii="Times New Roman" w:cs="Times New Roman" w:eastAsia="Times New Roman" w:hAnsi="Times New Roman"/>
          <w:sz w:val="18"/>
          <w:szCs w:val="18"/>
          <w:color w:val="auto"/>
        </w:rPr>
      </w:pPr>
    </w:p>
    <w:p>
      <w:pPr>
        <w:jc w:val="both"/>
        <w:ind w:left="6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U.S. domestic initiatives, following our collaboration with Digihost Technology Inc. (“Digihost”) in December 2024, we provided consulting services to Digihost from April to June 2025, despite not having formally launched our consulting service offerings. Our consulting support contributed to the planning and execution of the Digihost project and included regulatory advice, site assessment, roadmap development, and stakeholder engagement. We are currently evaluating strategic acquisitions or collaborations to expand our business operations and formally establish our consulting services, and have commenced several material discussions with potential targets for such acquisitions or collaborations, but as of the date of this prospectus, we have not entered into any definitive agreements for such acquisitions or collaborations.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$2 million over the next twelve months to recruit additional staff and build corresponding infrastructure to be capable of providing these services both domestically and internationally. As of the date of this prospectus, we believe we have sufficient funds to support the development of our nuclear consultation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Our mission is to become a commercially focused, diversified and vertically integrated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218"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Our Industry and Market</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U.S. domestic nuclear energy sector is undergoing a renaissance that we believe we can capitalize on. Strong demand signals and investment support from the Tech Industry, growing demand for clean energy sources to support climate mandates, combined with DOE programs intended to build back national nuclear infrastructure, have created positive market momentum and investor sentiment, which is further driving development and market forces within the nuclear energy industry.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support objectives of the DOE and the International Atomic Energy Agency (IAEA) for the peaceful use of nuclear energy, and we intend for our technology to form part of the U.S. foreign policy to advance the peaceful use of nuclear energy, science and technology, and drive new resources to projects and activities in developing countries with the greatest need. A key part of our business plan will seek to become a nuclear technology organization that can grow the U.S. global energy market engagement and concurrently support global market opportunities.</w:t>
      </w:r>
    </w:p>
    <w:p>
      <w:pPr>
        <w:spacing w:after="0" w:line="1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2021, the White House published a statement titled </w:t>
      </w:r>
      <w:r>
        <w:rPr>
          <w:rFonts w:ascii="Times New Roman" w:cs="Times New Roman" w:eastAsia="Times New Roman" w:hAnsi="Times New Roman"/>
          <w:sz w:val="18"/>
          <w:szCs w:val="18"/>
          <w:i w:val="1"/>
          <w:iCs w:val="1"/>
          <w:color w:val="auto"/>
        </w:rPr>
        <w:t>“FACT SHEET: President Biden Sets 2030 Greenhouse Gas Pollution Reduction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Aimed at Creating Good-Paying Union Jobs and Securing U.S. Leadership on Clean Energy Technologies.” </w:t>
      </w:r>
      <w:r>
        <w:rPr>
          <w:rFonts w:ascii="Times New Roman" w:cs="Times New Roman" w:eastAsia="Times New Roman" w:hAnsi="Times New Roman"/>
          <w:sz w:val="18"/>
          <w:szCs w:val="18"/>
          <w:color w:val="auto"/>
        </w:rPr>
        <w:t>On May 23, 2025, President Trump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series of executive orders aimed at accelerating the development and deployment of nuclear energy in the United States. These directives set forth a national objective to quadruple nuclear energy capacity by 2050 and direct federal agencies, including the DOE and the NRC, to implement policy reforms supporting the restart of shuttered plants, expedited licensing of new reactors, and expanded investment in advanced nuclear technologies such as small modular reactors (SMRs). The orders also emphasized strengthening the domestic uranium supply chain and supporting workforce development initiatives. These policy measures are expected to significantly impact the regulatory environment, capital access, and strategic direction of the nuclear energy sector.</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United States has taken numerous steps in recent years to reduce its dependence on carbon-emitting energy sources. The U.S. had previously set a goal to reach a 100% carbon pollution-free electricity system by 2035, and President Biden set a target of a 50 to 52% reduction from 2005 levels in economy-wide net greenhouse gas pollution by 2030, underlining the Biden administration’s desire for new energy solutions which are at the core of our business plans. Additionally, the “net zero world” initiative signals the U.S.’s proactive stance in working with countries to lead a global transition to net zero emissions by 2050. While it remains unclear how the Trump administration will view the net world zero initiative, it has already voiced support for the advanced reactor industry and declared its intention to support the build back of the nuclear industry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 Market Opportunity and Key Government Support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our achievements to date and our business plans are positioning our company to be a leading participant in the U.S. nuclear energy and technology industry through simultaneously rebuilding and introducing national capabilities to drive the resurgent nuclear energy industry. We further believe that our timing and approach into the industry have been optimal, with insight into national capability deficiencies and an understanding of the difficulties faced by other commercial nuclear energy, particularly microreactor, companies. Almost all microreactor companies have advanced using funds acquired from government grants or awards. Even with private funding, they have been stifled by lack of investor interest because of the long return timelines and high risks.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we are competitively differentiated in many ways.</w:t>
      </w:r>
    </w:p>
    <w:p>
      <w:pPr>
        <w:spacing w:after="0" w:line="221" w:lineRule="exact"/>
        <w:rPr>
          <w:sz w:val="20"/>
          <w:szCs w:val="20"/>
          <w:color w:val="auto"/>
        </w:rPr>
      </w:pPr>
    </w:p>
    <w:p>
      <w:pPr>
        <w:jc w:val="both"/>
        <w:ind w:left="960" w:right="20" w:hanging="317"/>
        <w:spacing w:after="0" w:line="26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Non-Dependent on Government Funding</w:t>
      </w:r>
      <w:r>
        <w:rPr>
          <w:rFonts w:ascii="Times New Roman" w:cs="Times New Roman" w:eastAsia="Times New Roman" w:hAnsi="Times New Roman"/>
          <w:sz w:val="18"/>
          <w:szCs w:val="18"/>
          <w:color w:val="auto"/>
        </w:rPr>
        <w:t>. Most small modular reactor (SMR) and microreactor companies are reliant on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grants and financing to progress their concepts. Consequently, their progress may cease once government funding is not available. Conversely, we do not rely on government funding to sustain our business operations.</w:t>
      </w:r>
    </w:p>
    <w:p>
      <w:pPr>
        <w:spacing w:after="0" w:line="170" w:lineRule="exact"/>
        <w:rPr>
          <w:rFonts w:ascii="Times New Roman" w:cs="Times New Roman" w:eastAsia="Times New Roman" w:hAnsi="Times New Roman"/>
          <w:sz w:val="18"/>
          <w:szCs w:val="18"/>
          <w:color w:val="auto"/>
        </w:rPr>
      </w:pPr>
    </w:p>
    <w:p>
      <w:pPr>
        <w:jc w:val="both"/>
        <w:ind w:left="960" w:right="20" w:hanging="317"/>
        <w:spacing w:after="0" w:line="25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Technical Insight</w:t>
      </w:r>
      <w:r>
        <w:rPr>
          <w:rFonts w:ascii="Times New Roman" w:cs="Times New Roman" w:eastAsia="Times New Roman" w:hAnsi="Times New Roman"/>
          <w:sz w:val="18"/>
          <w:szCs w:val="18"/>
          <w:color w:val="auto"/>
        </w:rPr>
        <w:t>. On the technical front, we have benefited from insight into the problems which affected earlier movers within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reactor space. SMR companies have raised billions of dollars for development but have been stalled by technical challenges, such as needing to qualify fuel or coolants, or acquiring the fuel necessary to advance their reactors. This led to our investigations into de-risking our own fuel supply by pursuing development and investment into the fuel supply chain and examining our own fuel processing facilities, as well as opting to use more conventional fuel with greater operational history. We believe we have identified certain problems affecting the industry and we are taking early action to surmount potential roadblocks.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17" w:name="page18"/>
    <w:bookmarkEnd w:id="17"/>
    <w:p>
      <w:pPr>
        <w:jc w:val="both"/>
        <w:ind w:left="960" w:hanging="317"/>
        <w:spacing w:after="0" w:line="25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Government Contacts</w:t>
      </w:r>
      <w:r>
        <w:rPr>
          <w:rFonts w:ascii="Times New Roman" w:cs="Times New Roman" w:eastAsia="Times New Roman" w:hAnsi="Times New Roman"/>
          <w:sz w:val="18"/>
          <w:szCs w:val="18"/>
          <w:color w:val="auto"/>
        </w:rPr>
        <w:t>. During 2024 and 2025, individuals with high placed government service and contacts joined our company.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(i) John G. Vonglis, the former Chief Financial Officer of the DOE, who joined as our Executive Director of Global Government Affairs, (ii) Eric R. Oesterle, a former Branch Chief for Operating Reactor Licensing at the NRC, who joined as our Head of Microreactor Regulatory Licensing, (iii) David Tiktinsky, a forty year veteran of the NRC, who joined as our Head of Nuclear Regulatory Licensing and (iv) Dr. Seth Berl, a former Deputy Chief Data Officer at the DOE, who joined our board of directors. In addition, a number of former high-ranking military and government officials with significant experience in nuclear energy sit on our Executive Advisory Board. Our recruitment efforts were complemented by bringing in experts involved in every major part of the nuclear industry, from regulation to laboratories, to technical teams. We believe we will benefit from those government contacts as our company will be afforded access to highly skilled personnel possessing advanced expertise in the energy and nuclear sectors.</w:t>
      </w:r>
    </w:p>
    <w:p>
      <w:pPr>
        <w:spacing w:after="0" w:line="188" w:lineRule="exact"/>
        <w:rPr>
          <w:rFonts w:ascii="Times New Roman" w:cs="Times New Roman" w:eastAsia="Times New Roman" w:hAnsi="Times New Roman"/>
          <w:sz w:val="18"/>
          <w:szCs w:val="18"/>
          <w:color w:val="auto"/>
        </w:rPr>
      </w:pPr>
    </w:p>
    <w:p>
      <w:pPr>
        <w:jc w:val="both"/>
        <w:ind w:left="960" w:right="20" w:hanging="317"/>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World Class Team</w:t>
      </w:r>
      <w:r>
        <w:rPr>
          <w:rFonts w:ascii="Times New Roman" w:cs="Times New Roman" w:eastAsia="Times New Roman" w:hAnsi="Times New Roman"/>
          <w:sz w:val="18"/>
          <w:szCs w:val="18"/>
          <w:color w:val="auto"/>
        </w:rPr>
        <w:t>. Our technical team is world class, with simple and realizable reactor concepts that do not require exotic fuels,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 of all the difficulties faced by almost every other reactor company who has chosen designs which have complicated development and licensing. Our team has a deep knowledge of applicable regulatory requirements surrounding safety, transportation, and decommissioning, and our designs have incorporated all these considerations from the outset.</w:t>
      </w:r>
    </w:p>
    <w:p>
      <w:pPr>
        <w:spacing w:after="0" w:line="176" w:lineRule="exact"/>
        <w:rPr>
          <w:rFonts w:ascii="Times New Roman" w:cs="Times New Roman" w:eastAsia="Times New Roman" w:hAnsi="Times New Roman"/>
          <w:sz w:val="18"/>
          <w:szCs w:val="18"/>
          <w:color w:val="auto"/>
        </w:rPr>
      </w:pPr>
    </w:p>
    <w:p>
      <w:pPr>
        <w:jc w:val="both"/>
        <w:ind w:left="960" w:right="20" w:hanging="317"/>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Initiatives</w:t>
      </w:r>
      <w:r>
        <w:rPr>
          <w:rFonts w:ascii="Times New Roman" w:cs="Times New Roman" w:eastAsia="Times New Roman" w:hAnsi="Times New Roman"/>
          <w:sz w:val="18"/>
          <w:szCs w:val="18"/>
          <w:color w:val="auto"/>
        </w:rPr>
        <w:t>. We believe that the U.S. government is increasingly showing strong support for nuclear energy through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initiatives aimed at advancing nuclear technology, all of which further our business plans and opportunities. This support has taken various forms, including legislation, grants, project funding and loan guarantees. Aside from the support for existing nuclear capabilities, all of these initiatives have the potential directly or indirectly to benefit and support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we have the following competitive strengths relating to our various business lines:</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Nuclear Reactor Business. </w:t>
      </w:r>
      <w:r>
        <w:rPr>
          <w:rFonts w:ascii="Times New Roman" w:cs="Times New Roman" w:eastAsia="Times New Roman" w:hAnsi="Times New Roman"/>
          <w:sz w:val="18"/>
          <w:szCs w:val="18"/>
          <w:color w:val="auto"/>
        </w:rPr>
        <w:t>Unlike other nuclear reactor companies, we are seeking to become a vertically integrated company with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streams of revenue, a diversified business to hedge against market changes, and greater control over industries supporting microreactor development, such as within the nuclear fuel supply chain and transportation. Our diversified business model will make us highly differentiated from other reactor companies. We believe we have an expertise advantage over other companies developing microreactors, as we can and have recruited some of the best scientists, engineers and professionals in the world from any country or institution, without being constrained by the available personnel located within certain academic and professional institutions. The technical personnel involved in the current design of our reactors have been involved with the design and development of dozens of different reactors.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believe our lead project, the KRONOS MMR™ Energy System, has among the most, if not the most, high technology readiness of the current known microreactor designs in the market given the millions of dollars of research and development invested in the project by its prior owner. We believe this gives the KRONOS MMR™ Energy System an advantage over other competing microreactor designs.</w:t>
      </w:r>
    </w:p>
    <w:p>
      <w:pPr>
        <w:spacing w:after="0" w:line="17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Processing Business. </w:t>
      </w:r>
      <w:r>
        <w:rPr>
          <w:rFonts w:ascii="Times New Roman" w:cs="Times New Roman" w:eastAsia="Times New Roman" w:hAnsi="Times New Roman"/>
          <w:sz w:val="18"/>
          <w:szCs w:val="18"/>
          <w:color w:val="auto"/>
        </w:rPr>
        <w:t>We believe, based on our market research, that no SMR and microreactor company is currently developing an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supply chain to produce the fuel for their reactors. Our strategy to develop fuel for our own reactors will also position us to supply fuel to the wider nuclear industry and other reactor manufacturers, addressing anticipated significant shortfalls in fuel supply.</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Fuel Transportation Business. </w:t>
      </w:r>
      <w:r>
        <w:rPr>
          <w:rFonts w:ascii="Times New Roman" w:cs="Times New Roman" w:eastAsia="Times New Roman" w:hAnsi="Times New Roman"/>
          <w:sz w:val="18"/>
          <w:szCs w:val="18"/>
          <w:color w:val="auto"/>
        </w:rPr>
        <w:t>We identified a transportation concept which investigated a high capacity HALEU fuel transportation basket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developed by INL, ORNL and PNNL, and funded by the DOE. The technology was pursued by DOE to create a full HALEU transportation package, which provided the most advanced solution to address the technological challenge of moving commercial quantities of HALEU fuel around North America. The development of this concept had not been continued by the DOE due to lack of funding. On April 3, 2024, we entered into the BEA License with BEA for this nuclear fuel transportation package, and have been working with the groups capable of aiding us in the development of the concept into an NRC certified and transportation package for the transportation of HALEU materials.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Challenges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plan to develop and launch a vertically integrated, high technology nuclear energy business faces and will continue to face many significant challenges, as our business involves complex nuclear technology, regulatory hurdles, rapidly shifting market dynamics and intense competition. These challenges include, but are not limited to, the following:</w:t>
      </w:r>
    </w:p>
    <w:p>
      <w:pPr>
        <w:spacing w:after="0" w:line="176" w:lineRule="exact"/>
        <w:rPr>
          <w:sz w:val="20"/>
          <w:szCs w:val="20"/>
          <w:color w:val="auto"/>
        </w:rPr>
      </w:pPr>
    </w:p>
    <w:p>
      <w:pPr>
        <w:jc w:val="both"/>
        <w:ind w:left="640" w:right="20" w:hanging="321"/>
        <w:spacing w:after="0" w:line="258"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necessary permits and licenses for nuclear reactors, fuel facilities and transportation capabilities is time-consuming and expensive. Nuclear reactors must meet stringent safety and environmental standards, and gaining regulatory approval can be a lengthy endeavor. Additionally, ensuring the safety of a microreactor throughout its lifecycle is paramount. Developing, implementing, and maintaining robust safety systems and protocols are critical challenges. Implementing robust security measures to protect against theft, sabotage, or unauthorized access is also critical for both regulatory compliance and public safety.</w:t>
      </w:r>
    </w:p>
    <w:p>
      <w:pPr>
        <w:spacing w:after="0" w:line="183" w:lineRule="exact"/>
        <w:rPr>
          <w:rFonts w:ascii="Times New Roman" w:cs="Times New Roman" w:eastAsia="Times New Roman" w:hAnsi="Times New Roman"/>
          <w:sz w:val="18"/>
          <w:szCs w:val="18"/>
          <w:color w:val="auto"/>
        </w:rPr>
      </w:pPr>
    </w:p>
    <w:p>
      <w:pPr>
        <w:jc w:val="both"/>
        <w:ind w:left="640" w:right="20" w:hanging="321"/>
        <w:spacing w:after="0" w:line="25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operating a microreactor and our other nuclear energy-related facilities is very capital-intensive. Securing the necessary significant funding and managing costs, including but not limited to operational and maintenance costs, are ongoing challenges for our business. We estimate that the capital costs needed to construct the prototype KRONOS MMR™ reactors at the UIUC and Canada over the next several years could be around $300 million to $350 million per reactor, given the bespoke nature of these initial construction projects. This range reflects inherent uncertainty in building a first-of-a-kind reactor due to several factors that can result in a material increase to these estimates, including site specific factors, the timing and scope of project development and regulatory licensing and supply chain considerations. The range also assumes what we believe are conservative cost estimates for our initial demonstration reactors. Subsequent reactors’ capital costs are expected to decline substantially due to supply chain scaling for mass production of components, factory fabrication, modular assembly, and multiple deployments.</w:t>
      </w:r>
    </w:p>
    <w:p>
      <w:pPr>
        <w:spacing w:after="0" w:line="188" w:lineRule="exact"/>
        <w:rPr>
          <w:rFonts w:ascii="Times New Roman" w:cs="Times New Roman" w:eastAsia="Times New Roman" w:hAnsi="Times New Roman"/>
          <w:sz w:val="18"/>
          <w:szCs w:val="18"/>
          <w:color w:val="auto"/>
        </w:rPr>
      </w:pPr>
    </w:p>
    <w:p>
      <w:pPr>
        <w:ind w:left="640" w:right="20" w:hanging="321"/>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regulatory and competitive landscape can change, impacting the stability and viability of nuclear projects. International agreements and geopolitical factors can also affect nuclear technology, access and export.</w:t>
      </w:r>
    </w:p>
    <w:p>
      <w:pPr>
        <w:sectPr>
          <w:pgSz w:w="11900" w:h="16838" w:orient="portrait"/>
          <w:cols w:equalWidth="0" w:num="1">
            <w:col w:w="10940"/>
          </w:cols>
          <w:pgMar w:left="480" w:top="914" w:right="479" w:bottom="0" w:gutter="0" w:footer="0" w:header="0"/>
        </w:sectPr>
      </w:pPr>
    </w:p>
    <w:bookmarkStart w:id="18" w:name="page19"/>
    <w:bookmarkEnd w:id="18"/>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this prospectus and the documents incorporated herein by reference, we provide our current estimated timelines for advancing and commercially launching our business lines. Readers are cautioned, however, there can be no assurance that we will meet our anticipated timelines, if at all, as our business operations are subject to the completion of ongoing technical, regulatory, and operational preparations, which are inherently uncertain and risky given the nature of our business and may be affected by factors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-559435</wp:posOffset>
            </wp:positionV>
            <wp:extent cx="7136130" cy="1382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38239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further information on the challenges we face, please see the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this prospectus and in the documents incorporated herein by reference, most notably our 2025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2025, which was filed on December 18, 2025, and our Quarterly Report on Form 10-Q for the three months ended December 31, 2025, which was filed on February 17, 2026.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324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t>Competition</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face significant competition within our industry. Our competitors target similar power output ranges and employ a range of technologies, including both conventional and novel nuclear reactor designs. In addition, we face competition outside the nuclear energy sector, including fossil fuel-based power generation, renewable energy sources, long duration energy storage solutions, and other nuclear reactor technologies. However, as described above in “Competitive Strengths”, we believe we are positioned better than our competition to emerge as a leading supplier of carbon-free round the clock energy generation.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acquired or licensed important intellectual property to protect our technologies. As of the date of this prospectus, we have a total of 47 issued, pending, or published patents, and 21 registered, pending, or published trademarks.</w:t>
      </w:r>
    </w:p>
    <w:p>
      <w:pPr>
        <w:spacing w:after="0" w:line="16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Specifically, we have 30 issued, pending or published patents, 18 registered, pending or published trademarks, and other technology and intellectual property related to the KRONOS MMR™ Energy System and LOKI MMR™ Energy System. Of these patents and patent applications, eleven were filed with the USPTO, and nineteen were filed with foreign patent offices in various jurisdictions, including Canada, Europe, Korea, China, Japan, United Kingdom, and South Africa. In addition, we also hold intellectual property and related rights associated with a demonstration project in the United States, including commercial and non-commercial licensing rights.</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12 patent applications related to various aspects of the ZEUS™ microreactor and power plant design, including six U.S. utility applications and six corresponding international applications filed under the PCT. The U.S utility applications are pending and awaiting examination by the USPTO, and the PCT international applications await national stage entry as of the date of this prospectus. We have one pending trademark application related to the ZEUS™ technology.</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also have five patent applications related to our acquired ALIP technology for small nuclear reactor cooling, which include four U.S. utility applications and one international PCT application. As of the date of this prospectus, the U.S. utility applications are pending and awaiting examination by the USPTO, and the international PCT application is awaiting national entry.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have an exclusive license granted by Battelle Energy Alliance, LLC, the manager of the INL (BEA) for our fuel transportation technology, and one pending trademark application related to our fuel transportation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Our Executive Officers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of our executive officers are employed with us under employment agreements.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Almost all of our executive officers have management, advisory or directorship positions with other companies and may allocate their time to other businesses, which may pose certain risks in fulfilling their obligations with us. Mr. Yu has concurrently served on the board and management team of several companies and currently allocates at least 15 hours per week to his roles at other companies. Mr. Yu also concurrently serves as the chief executive officer and chairman of the board of LIST. Mr. James Walker, our Chief Executive Officer, currently allocates at least five hours per week to support Ares Strategic Mining Inc. (or Ares), a Canadian-based company listed on the Canadian Stock Exchange under (Ticker: ARS) engaged in junior natural resource mining, where he is responsible for the construction of plants, purchases of land, operations, marketing, financing, safety regulation compliance, and shareholder relations. He is also concurrently serving on the board of directors of several small-cap publicly traded companies and a consultant to LIST. Mr. Jaisun Garcha, our Chief Financial Officer, is currently, and will continue to, work full time with us, and is currently also working as a consultant to LIST.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on February 8, 2022. Our principal executive office is located at 10 Times Square,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10018, and our telephone number is (212) 634-9206. Our website is www.nanonuclearenergy.com. Information contained on, or available through, our website does not constitute part of, and is not deemed incorporated by reference into, this prospectus, and investors should not rely on such information in deciding whether to purchase shares of our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20" w:name="page21"/>
    <w:bookmarkEnd w:id="20"/>
    <w:p>
      <w:pPr>
        <w:ind w:left="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199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199120"/>
                    </a:xfrm>
                    <a:prstGeom prst="rect">
                      <a:avLst/>
                    </a:prstGeom>
                    <a:noFill/>
                  </pic:spPr>
                </pic:pic>
              </a:graphicData>
            </a:graphic>
          </wp:anchor>
        </w:drawing>
        <w:t>Summary of Consolidated Financial Information</w:t>
      </w:r>
    </w:p>
    <w:p>
      <w:pPr>
        <w:spacing w:after="0" w:line="229" w:lineRule="exact"/>
        <w:rPr>
          <w:sz w:val="20"/>
          <w:szCs w:val="20"/>
          <w:color w:val="auto"/>
        </w:rPr>
      </w:pPr>
    </w:p>
    <w:p>
      <w:pPr>
        <w:jc w:val="both"/>
        <w:ind w:left="160" w:right="140"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summary financial and other data for the periods ended and at the dates indicated below. Our summary financial information for the years ended September 30, 2025 and 2024 has been derived from our audited condensed consolidated financial statements incorporated by reference in this prospectus. Our summary financial information for the three months ended December 31, 2025 and 2024 has been derived from our unaudited consolidated financial statements incorporated by reference in this prospectus. The financial data set forth below should be read in conjunction with “Management’s Discussion and Analysis of Financial Condition and Results of Operations”, the audited consolidated financial statements and notes thereto included in our 2025 Annual Report and the unaudited condensed consolidated financial statements and notes thereto included in our Quarterly Report for the three months ended December 31, 2025, which have been filed with the SEC and are incorporated by reference into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68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1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1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1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160" w:type="dxa"/>
            <w:vAlign w:val="bottom"/>
          </w:tcPr>
          <w:p>
            <w:pPr>
              <w:spacing w:after="0"/>
              <w:rPr>
                <w:sz w:val="21"/>
                <w:szCs w:val="21"/>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8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577,533,949</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current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Marketable securities, at fair value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279,677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580,764,896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204,667,913</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non-current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11,029,284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 related party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63"/>
        </w:trPr>
        <w:tc>
          <w:tcPr>
            <w:tcW w:w="160" w:type="dxa"/>
            <w:vAlign w:val="bottom"/>
          </w:tcPr>
          <w:p>
            <w:pPr>
              <w:spacing w:after="0"/>
              <w:rPr>
                <w:sz w:val="22"/>
                <w:szCs w:val="2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606,056,161</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120" w:type="dxa"/>
            <w:vAlign w:val="bottom"/>
            <w:tcBorders>
              <w:bottom w:val="single" w:sz="8" w:color="CCEEFF"/>
            </w:tcBorders>
          </w:tcPr>
          <w:p>
            <w:pPr>
              <w:spacing w:after="0"/>
              <w:rPr>
                <w:sz w:val="22"/>
                <w:szCs w:val="22"/>
                <w:color w:val="auto"/>
              </w:rPr>
            </w:pPr>
          </w:p>
        </w:tc>
        <w:tc>
          <w:tcPr>
            <w:tcW w:w="140" w:type="dxa"/>
            <w:vAlign w:val="bottom"/>
          </w:tcPr>
          <w:p>
            <w:pPr>
              <w:spacing w:after="0"/>
              <w:rPr>
                <w:sz w:val="22"/>
                <w:szCs w:val="22"/>
                <w:color w:val="auto"/>
              </w:rPr>
            </w:pPr>
          </w:p>
        </w:tc>
      </w:tr>
      <w:tr>
        <w:trPr>
          <w:trHeight w:val="223"/>
        </w:trPr>
        <w:tc>
          <w:tcPr>
            <w:tcW w:w="160" w:type="dxa"/>
            <w:vAlign w:val="bottom"/>
          </w:tcPr>
          <w:p>
            <w:pPr>
              <w:spacing w:after="0"/>
              <w:rPr>
                <w:sz w:val="19"/>
                <w:szCs w:val="19"/>
                <w:color w:val="auto"/>
              </w:rPr>
            </w:pPr>
          </w:p>
        </w:tc>
        <w:tc>
          <w:tcPr>
            <w:tcW w:w="6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6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2,540,706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1,314,596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1,978,000</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3,826,724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2,145,365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2,261,414</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6,477,372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6,088,138</w:t>
            </w:r>
          </w:p>
        </w:tc>
        <w:tc>
          <w:tcPr>
            <w:tcW w:w="12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160" w:type="dxa"/>
            <w:vAlign w:val="bottom"/>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98"/>
        </w:trPr>
        <w:tc>
          <w:tcPr>
            <w:tcW w:w="160" w:type="dxa"/>
            <w:vAlign w:val="bottom"/>
          </w:tcPr>
          <w:p>
            <w:pPr>
              <w:spacing w:after="0"/>
              <w:rPr>
                <w:sz w:val="17"/>
                <w:szCs w:val="17"/>
                <w:color w:val="auto"/>
              </w:rPr>
            </w:pPr>
          </w:p>
        </w:tc>
        <w:tc>
          <w:tcPr>
            <w:tcW w:w="6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December 31, 2025 and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 none issued and outstanding as of December 31, 2025 and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December 31, 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September 30, 2025; 50,581,794 and 41,738,358 shares issued and outstanding as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September 30, 2025,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663,601,589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280,065,412</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(64,017,136)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(57,500,857)</w:t>
            </w: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599,578,789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12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606,056,161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16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5300"/>
              <w:spacing w:after="0"/>
              <w:rPr>
                <w:sz w:val="20"/>
                <w:szCs w:val="20"/>
                <w:color w:val="auto"/>
              </w:rPr>
            </w:pPr>
            <w:r>
              <w:rPr>
                <w:rFonts w:ascii="Times New Roman" w:cs="Times New Roman" w:eastAsia="Times New Roman" w:hAnsi="Times New Roman"/>
                <w:sz w:val="18"/>
                <w:szCs w:val="18"/>
                <w:color w:val="auto"/>
              </w:rPr>
              <w:t>S-11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 current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204,667,913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29,341,204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Deposits, non-current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investments, related party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35,096,170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1,314,596</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3,826,724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6,088,138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September 30, 2025 and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2024; none issued and outstanding as of September 30, 2025 and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September 30, 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September 30, 2024; 41,738,358 and 30,715,663 shares issued and outstanding as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September 30, 2025 and September 30, 2024,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280,065,412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(57,500,857)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(17,433,781)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35,096,170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6"/>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center"/>
              <w:ind w:right="3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6"/>
              </w:rPr>
              <w:t>Operating expenses</w:t>
            </w:r>
          </w:p>
        </w:tc>
        <w:tc>
          <w:tcPr>
            <w:tcW w:w="5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6,886,603</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5,400,410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(727,500)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11,559,513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3,923,743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5,013,557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(122,838)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accounts receivable</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(6,516,279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(6,526,999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49,807,203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33,964,495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49,807,203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33,964,495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480" w:top="914" w:right="479" w:bottom="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6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6"/>
              </w:rPr>
              <w:t>Operating expenses</w:t>
            </w:r>
          </w:p>
        </w:tc>
        <w:tc>
          <w:tcPr>
            <w:tcW w:w="328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29,562,520</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6,850,993</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15,446,513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3,725,565</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(46,216,533)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(10,510,558)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6,149,457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359,002</w:t>
            </w:r>
          </w:p>
        </w:tc>
        <w:tc>
          <w:tcPr>
            <w:tcW w:w="120" w:type="dxa"/>
            <w:vAlign w:val="bottom"/>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(40,067,076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(10,151,556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0" w:type="dxa"/>
            <w:vAlign w:val="bottom"/>
            <w:tcBorders>
              <w:left w:val="single" w:sz="8" w:color="auto"/>
            </w:tcBorders>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tcBorders>
              <w:bottom w:val="single" w:sz="8" w:color="CCEEFF"/>
            </w:tcBorders>
            <w:gridSpan w:val="2"/>
            <w:vMerge w:val="continue"/>
          </w:tcPr>
          <w:p>
            <w:pPr>
              <w:spacing w:after="0"/>
              <w:rPr>
                <w:sz w:val="20"/>
                <w:szCs w:val="20"/>
                <w:color w:val="auto"/>
              </w:rPr>
            </w:pPr>
          </w:p>
        </w:tc>
        <w:tc>
          <w:tcPr>
            <w:tcW w:w="20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0" w:type="dxa"/>
            <w:vAlign w:val="bottom"/>
            <w:tcBorders>
              <w:left w:val="single" w:sz="8" w:color="auto"/>
            </w:tcBorders>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37,910,547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
            <w:vMerge w:val="continue"/>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37,910,547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26,222,442</w:t>
            </w:r>
          </w:p>
        </w:tc>
        <w:tc>
          <w:tcPr>
            <w:tcW w:w="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60" w:type="dxa"/>
            <w:vAlign w:val="bottom"/>
            <w:tcBorders>
              <w:left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196"/>
              <w:spacing w:after="0"/>
              <w:rPr>
                <w:sz w:val="20"/>
                <w:szCs w:val="20"/>
                <w:color w:val="auto"/>
              </w:rPr>
            </w:pPr>
            <w:r>
              <w:rPr>
                <w:rFonts w:ascii="Times New Roman" w:cs="Times New Roman" w:eastAsia="Times New Roman" w:hAnsi="Times New Roman"/>
                <w:sz w:val="18"/>
                <w:szCs w:val="18"/>
                <w:color w:val="auto"/>
              </w:rPr>
              <w:t>S-12</w:t>
            </w: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-2699385</wp:posOffset>
            </wp:positionV>
            <wp:extent cx="694372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-2425065</wp:posOffset>
            </wp:positionV>
            <wp:extent cx="694372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-2133600</wp:posOffset>
            </wp:positionV>
            <wp:extent cx="69437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-1851025</wp:posOffset>
            </wp:positionV>
            <wp:extent cx="694372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3725" cy="16319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-1533525</wp:posOffset>
            </wp:positionV>
            <wp:extent cx="69437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-1233805</wp:posOffset>
            </wp:positionV>
            <wp:extent cx="694372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3725" cy="1625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-916305</wp:posOffset>
            </wp:positionV>
            <wp:extent cx="69437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-616585</wp:posOffset>
            </wp:positionV>
            <wp:extent cx="694372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449"/>
        </w:trPr>
        <w:tc>
          <w:tcPr>
            <w:tcW w:w="160" w:type="dxa"/>
            <w:vAlign w:val="bottom"/>
            <w:tcBorders>
              <w:top w:val="single" w:sz="8" w:color="auto"/>
              <w:left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17"/>
          </w:tcPr>
          <w:p>
            <w:pPr>
              <w:jc w:val="right"/>
              <w:ind w:right="821"/>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Stockholders’ Equity</w:t>
            </w: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Borders>
              <w:left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24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34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980" w:type="dxa"/>
            <w:vAlign w:val="bottom"/>
            <w:gridSpan w:val="5"/>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41,738,358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$ 280,065,412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(57,500,857)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$ 222,568,728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8,490,767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399,999,183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400,000,033</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(21,520,711)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(21,520,711)</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2,445,034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2,445,048</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2,072,690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2,072,690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(6,516,279)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(6,516,279)</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0" w:type="dxa"/>
            <w:vAlign w:val="bottom"/>
            <w:tcBorders>
              <w:left w:val="single" w:sz="8" w:color="auto"/>
            </w:tcBorders>
          </w:tcPr>
          <w:p>
            <w:pPr>
              <w:spacing w:after="0"/>
              <w:rPr>
                <w:sz w:val="17"/>
                <w:szCs w:val="17"/>
                <w:color w:val="auto"/>
              </w:rPr>
            </w:pPr>
          </w:p>
        </w:tc>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0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(10,720)</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50,581,794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663,601,589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(64,017,136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$ 599,578,789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left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Borders>
              <w:left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4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(17,433,781)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vMerge w:val="restart"/>
          </w:tcPr>
          <w:p>
            <w:pPr>
              <w:spacing w:after="0"/>
              <w:rPr>
                <w:sz w:val="21"/>
                <w:szCs w:val="21"/>
                <w:color w:val="auto"/>
              </w:rPr>
            </w:pPr>
          </w:p>
        </w:tc>
        <w:tc>
          <w:tcPr>
            <w:tcW w:w="3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4,935,294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101,399,518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101,400,012</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(9,058,856)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(9,058,856)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8,014,286</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(3,113,362)</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20" w:type="dxa"/>
            <w:vAlign w:val="bottom"/>
          </w:tcPr>
          <w:p>
            <w:pPr>
              <w:spacing w:after="0"/>
              <w:rPr>
                <w:sz w:val="19"/>
                <w:szCs w:val="19"/>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36,742,099</w:t>
            </w:r>
          </w:p>
        </w:tc>
        <w:tc>
          <w:tcPr>
            <w:tcW w:w="36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150,600,504</w:t>
            </w:r>
          </w:p>
        </w:tc>
        <w:tc>
          <w:tcPr>
            <w:tcW w:w="1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(20,547,143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130,057,036</w:t>
            </w: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lef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 Ended September 30, 2025</w:t>
            </w: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tcBorders>
              <w:left w:val="single" w:sz="8" w:color="auto"/>
            </w:tcBorders>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Borders>
              <w:left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4"/>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34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(17,433,781)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8,824,183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206,399,132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206,400,015</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(15,076,556)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(15,076,556)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1,254,512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18,476,051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18,476,174</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2,404,500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18,824,215</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(40,067,076)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(40,067,076)</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520" w:type="dxa"/>
            <w:vAlign w:val="bottom"/>
          </w:tcPr>
          <w:p>
            <w:pPr>
              <w:spacing w:after="0"/>
              <w:rPr>
                <w:sz w:val="18"/>
                <w:szCs w:val="18"/>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41,738,358</w:t>
            </w:r>
          </w:p>
        </w:tc>
        <w:tc>
          <w:tcPr>
            <w:tcW w:w="36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280,065,412</w:t>
            </w:r>
          </w:p>
        </w:tc>
        <w:tc>
          <w:tcPr>
            <w:tcW w:w="1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(57,500,857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0" w:type="dxa"/>
            <w:vAlign w:val="bottom"/>
            <w:tcBorders>
              <w:left w:val="single" w:sz="8" w:color="auto"/>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S-13</w:t>
            </w: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-5682615</wp:posOffset>
            </wp:positionV>
            <wp:extent cx="694372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-5408295</wp:posOffset>
            </wp:positionV>
            <wp:extent cx="694372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-5133975</wp:posOffset>
            </wp:positionV>
            <wp:extent cx="69437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-4859655</wp:posOffset>
            </wp:positionV>
            <wp:extent cx="6943725"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3725" cy="28321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-3428365</wp:posOffset>
            </wp:positionV>
            <wp:extent cx="694372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3725" cy="1543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-3136900</wp:posOffset>
            </wp:positionV>
            <wp:extent cx="69437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-2862580</wp:posOffset>
            </wp:positionV>
            <wp:extent cx="69437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-2579370</wp:posOffset>
            </wp:positionV>
            <wp:extent cx="694372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3725" cy="1625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-1422400</wp:posOffset>
            </wp:positionV>
            <wp:extent cx="69437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-1148080</wp:posOffset>
            </wp:positionV>
            <wp:extent cx="694372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-873760</wp:posOffset>
            </wp:positionV>
            <wp:extent cx="69437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-590550</wp:posOffset>
            </wp:positionV>
            <wp:extent cx="694372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24" w:name="page25"/>
    <w:bookmarkEnd w:id="24"/>
    <w:tbl>
      <w:tblPr>
        <w:tblLayout w:type="fixed"/>
        <w:tblInd w:w="160" w:type="dxa"/>
        <w:tblCellMar>
          <w:top w:w="0" w:type="dxa"/>
          <w:left w:w="0" w:type="dxa"/>
          <w:bottom w:w="0" w:type="dxa"/>
          <w:right w:w="0" w:type="dxa"/>
        </w:tblCellMar>
      </w:tblPr>
      <w:tr>
        <w:trPr>
          <w:trHeight w:val="238"/>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For the Year Ended September 30, 2024</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23,184,869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9,288,553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(7,282,225)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Mezzanine equity conversion</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(5,000,000)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34,953,456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34,953,937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(3,629,829)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(3,629,829)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R&amp;D acquisition common stock</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(10,151,556)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(10,151,556)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49,038,165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(17,433,781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056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90563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w:t>
            </w: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(6,516,279)</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revaluation</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(727,500)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on accounts receivable</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(152,515)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(86,381)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(112,028)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(109,376)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(3,989,840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(3,242,526</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(1,604,766)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Construction-in-progress</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(1,453,915)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(3,058,681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(3,560,000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101,400,012</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(21,520,711)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(9,058,856)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8,014,286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(135,500)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381,328,870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101,562,942</w:t>
            </w:r>
          </w:p>
        </w:tc>
        <w:tc>
          <w:tcPr>
            <w:tcW w:w="12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0" w:type="dxa"/>
            <w:vAlign w:val="bottom"/>
            <w:vMerge w:val="restart"/>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374,280,349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94,760,416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577,533,949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123,267,673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1316"/>
              <w:spacing w:after="0"/>
              <w:rPr>
                <w:sz w:val="20"/>
                <w:szCs w:val="20"/>
                <w:color w:val="auto"/>
              </w:rPr>
            </w:pPr>
            <w:r>
              <w:rPr>
                <w:rFonts w:ascii="Times New Roman" w:cs="Times New Roman" w:eastAsia="Times New Roman" w:hAnsi="Times New Roman"/>
                <w:sz w:val="18"/>
                <w:szCs w:val="18"/>
                <w:color w:val="auto"/>
              </w:rPr>
              <w:t>S-14</w:t>
            </w: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865"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26"/>
        </w:trPr>
        <w:tc>
          <w:tcPr>
            <w:tcW w:w="160" w:type="dxa"/>
            <w:vAlign w:val="bottom"/>
            <w:tcBorders>
              <w:top w:val="single" w:sz="8" w:color="auto"/>
              <w:left w:val="single" w:sz="8" w:color="auto"/>
            </w:tcBorders>
          </w:tcPr>
          <w:p>
            <w:pPr>
              <w:spacing w:after="0"/>
              <w:rPr>
                <w:sz w:val="24"/>
                <w:szCs w:val="24"/>
                <w:color w:val="auto"/>
              </w:rPr>
            </w:pPr>
          </w:p>
        </w:tc>
        <w:tc>
          <w:tcPr>
            <w:tcW w:w="52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8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5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vMerge w:val="restart"/>
          </w:tcPr>
          <w:p>
            <w:pPr>
              <w:spacing w:after="0"/>
              <w:rPr>
                <w:sz w:val="18"/>
                <w:szCs w:val="18"/>
                <w:color w:val="auto"/>
              </w:rPr>
            </w:pPr>
          </w:p>
        </w:tc>
        <w:tc>
          <w:tcPr>
            <w:tcW w:w="5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(40,067,076)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(10,151,556)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18,824,215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320,257</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96,532</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acquisition paid-in equity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contingent liability</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(68,914)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(628,090)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(235,235)</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571,474</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(162,541)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Contingent liability</w:t>
            </w: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770,500</w:t>
            </w:r>
          </w:p>
        </w:tc>
        <w:tc>
          <w:tcPr>
            <w:tcW w:w="120" w:type="dxa"/>
            <w:vAlign w:val="bottom"/>
            <w:tcBorders>
              <w:bottom w:val="single" w:sz="8" w:color="CCEEFF"/>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(19,621,963</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(8,464,146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vMerge w:val="restart"/>
          </w:tcPr>
          <w:p>
            <w:pPr>
              <w:spacing w:after="0"/>
              <w:rPr>
                <w:sz w:val="18"/>
                <w:szCs w:val="18"/>
                <w:color w:val="auto"/>
              </w:rPr>
            </w:pPr>
          </w:p>
        </w:tc>
        <w:tc>
          <w:tcPr>
            <w:tcW w:w="5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(9,075,045)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long-term investments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(8,449,332)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(17,524,377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vMerge w:val="restart"/>
          </w:tcPr>
          <w:p>
            <w:pPr>
              <w:spacing w:after="0"/>
              <w:rPr>
                <w:sz w:val="18"/>
                <w:szCs w:val="18"/>
                <w:color w:val="auto"/>
              </w:rPr>
            </w:pPr>
          </w:p>
        </w:tc>
        <w:tc>
          <w:tcPr>
            <w:tcW w:w="5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206,400,015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34,953,937</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(15,076,556)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(3,554,829)</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18,476,176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1,275,500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1,044,000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211,904,135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33,718,608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vMerge w:val="restart"/>
          </w:tcPr>
          <w:p>
            <w:pPr>
              <w:spacing w:after="0"/>
              <w:rPr>
                <w:sz w:val="18"/>
                <w:szCs w:val="18"/>
                <w:color w:val="auto"/>
              </w:rPr>
            </w:pPr>
          </w:p>
        </w:tc>
        <w:tc>
          <w:tcPr>
            <w:tcW w:w="5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174,757,795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21,554,462</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6,952,795</w:t>
            </w:r>
          </w:p>
        </w:tc>
        <w:tc>
          <w:tcPr>
            <w:tcW w:w="120" w:type="dxa"/>
            <w:vAlign w:val="bottom"/>
            <w:tcBorders>
              <w:bottom w:val="single" w:sz="8" w:color="CCEEFF"/>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Borders>
              <w:left w:val="single" w:sz="8" w:color="auto"/>
            </w:tcBorders>
            <w:vMerge w:val="restart"/>
          </w:tcPr>
          <w:p>
            <w:pPr>
              <w:spacing w:after="0"/>
              <w:rPr>
                <w:sz w:val="17"/>
                <w:szCs w:val="17"/>
                <w:color w:val="auto"/>
              </w:rPr>
            </w:pPr>
          </w:p>
        </w:tc>
        <w:tc>
          <w:tcPr>
            <w:tcW w:w="5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Supplemental Disclosures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Borders>
              <w:left w:val="single" w:sz="8" w:color="auto"/>
            </w:tcBorders>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Inception of Right-of-Use Asset / Lease Liability</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1,026,348</w:t>
            </w: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1,926,178</w:t>
            </w: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60" w:type="dxa"/>
            <w:vAlign w:val="bottom"/>
            <w:tcBorders>
              <w:left w:val="single" w:sz="8" w:color="auto"/>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1196"/>
              <w:spacing w:after="0"/>
              <w:rPr>
                <w:sz w:val="20"/>
                <w:szCs w:val="20"/>
                <w:color w:val="auto"/>
              </w:rPr>
            </w:pPr>
            <w:r>
              <w:rPr>
                <w:rFonts w:ascii="Times New Roman" w:cs="Times New Roman" w:eastAsia="Times New Roman" w:hAnsi="Times New Roman"/>
                <w:sz w:val="18"/>
                <w:szCs w:val="18"/>
                <w:color w:val="auto"/>
              </w:rPr>
              <w:t>S-15</w:t>
            </w: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-5640070</wp:posOffset>
            </wp:positionV>
            <wp:extent cx="69437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-5365750</wp:posOffset>
            </wp:positionV>
            <wp:extent cx="69437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-5091430</wp:posOffset>
            </wp:positionV>
            <wp:extent cx="69437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-4817110</wp:posOffset>
            </wp:positionV>
            <wp:extent cx="69437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-4542790</wp:posOffset>
            </wp:positionV>
            <wp:extent cx="69437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-4268470</wp:posOffset>
            </wp:positionV>
            <wp:extent cx="69437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-3994150</wp:posOffset>
            </wp:positionV>
            <wp:extent cx="694372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-3719830</wp:posOffset>
            </wp:positionV>
            <wp:extent cx="694372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-3428365</wp:posOffset>
            </wp:positionV>
            <wp:extent cx="694372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-3145790</wp:posOffset>
            </wp:positionV>
            <wp:extent cx="694372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-2870835</wp:posOffset>
            </wp:positionV>
            <wp:extent cx="694372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-2579370</wp:posOffset>
            </wp:positionV>
            <wp:extent cx="694372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-2296795</wp:posOffset>
            </wp:positionV>
            <wp:extent cx="69437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-2022475</wp:posOffset>
            </wp:positionV>
            <wp:extent cx="694372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-1748155</wp:posOffset>
            </wp:positionV>
            <wp:extent cx="694372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-1456690</wp:posOffset>
            </wp:positionV>
            <wp:extent cx="694372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-1174115</wp:posOffset>
            </wp:positionV>
            <wp:extent cx="694372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-865505</wp:posOffset>
            </wp:positionV>
            <wp:extent cx="694372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3725" cy="1543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-574040</wp:posOffset>
            </wp:positionV>
            <wp:extent cx="694372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26" w:name="page27"/>
    <w:bookmarkEnd w:id="26"/>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-264160</wp:posOffset>
            </wp:positionV>
            <wp:extent cx="7136130" cy="2773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7730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$400,000,000.</w:t>
      </w:r>
    </w:p>
    <w:p>
      <w:pPr>
        <w:spacing w:after="0" w:line="225"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Agents. See “Plan of Distribution” on page S-22 in this prospectus.</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these sales for the advancement and development of our technologies, particularly our KRONOS MMR™ reactor, general corporate purposes, which may include investing in or acquiring synergistic or complementary businesses, assets or technologies, and working capital. See “Use of Proceeds” on page S-19 in this prospectus.</w:t>
      </w:r>
    </w:p>
    <w:p>
      <w:pPr>
        <w:spacing w:after="0" w:line="176" w:lineRule="exact"/>
        <w:rPr>
          <w:sz w:val="20"/>
          <w:szCs w:val="20"/>
          <w:color w:val="auto"/>
        </w:rPr>
      </w:pPr>
    </w:p>
    <w:p>
      <w:pPr>
        <w:sectPr>
          <w:pgSz w:w="11900" w:h="16838" w:orient="portrait"/>
          <w:cols w:equalWidth="0" w:num="2">
            <w:col w:w="2720" w:space="720"/>
            <w:col w:w="7800"/>
          </w:cols>
          <w:pgMar w:left="320" w:top="914" w:right="339" w:bottom="1440" w:gutter="0" w:footer="0" w:header="0"/>
        </w:sectPr>
      </w:pPr>
    </w:p>
    <w:tbl>
      <w:tblPr>
        <w:tblLayout w:type="fixed"/>
        <w:tblInd w:w="0" w:type="dxa"/>
        <w:tblCellMar>
          <w:top w:w="0" w:type="dxa"/>
          <w:left w:w="0" w:type="dxa"/>
          <w:bottom w:w="0" w:type="dxa"/>
          <w:right w:w="0" w:type="dxa"/>
        </w:tblCellMar>
      </w:tblPr>
      <w:tr>
        <w:trPr>
          <w:trHeight w:val="220"/>
        </w:trPr>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8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is speculative and involves a high degree of risk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 “Risk Factors”</w:t>
            </w:r>
          </w:p>
        </w:tc>
      </w:tr>
      <w:tr>
        <w:trPr>
          <w:trHeight w:val="216"/>
        </w:trPr>
        <w:tc>
          <w:tcPr>
            <w:tcW w:w="2380" w:type="dxa"/>
            <w:vAlign w:val="bottom"/>
          </w:tcPr>
          <w:p>
            <w:pPr>
              <w:spacing w:after="0"/>
              <w:rPr>
                <w:sz w:val="18"/>
                <w:szCs w:val="18"/>
                <w:color w:val="auto"/>
              </w:rPr>
            </w:pPr>
          </w:p>
        </w:tc>
        <w:tc>
          <w:tcPr>
            <w:tcW w:w="88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beginning on page S-17 of this prospectus and in the documents referred to therein and incorporated by</w:t>
            </w:r>
          </w:p>
        </w:tc>
      </w:tr>
      <w:tr>
        <w:trPr>
          <w:trHeight w:val="216"/>
        </w:trPr>
        <w:tc>
          <w:tcPr>
            <w:tcW w:w="2380" w:type="dxa"/>
            <w:vAlign w:val="bottom"/>
          </w:tcPr>
          <w:p>
            <w:pPr>
              <w:spacing w:after="0"/>
              <w:rPr>
                <w:sz w:val="18"/>
                <w:szCs w:val="18"/>
                <w:color w:val="auto"/>
              </w:rPr>
            </w:pPr>
          </w:p>
        </w:tc>
        <w:tc>
          <w:tcPr>
            <w:tcW w:w="88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reference in this prospectus for a discussion of factors you should carefully consider before deciding to</w:t>
            </w:r>
          </w:p>
        </w:tc>
      </w:tr>
      <w:tr>
        <w:trPr>
          <w:trHeight w:val="234"/>
        </w:trPr>
        <w:tc>
          <w:tcPr>
            <w:tcW w:w="2380" w:type="dxa"/>
            <w:vAlign w:val="bottom"/>
          </w:tcPr>
          <w:p>
            <w:pPr>
              <w:spacing w:after="0"/>
              <w:rPr>
                <w:sz w:val="20"/>
                <w:szCs w:val="20"/>
                <w:color w:val="auto"/>
              </w:rPr>
            </w:pPr>
          </w:p>
        </w:tc>
        <w:tc>
          <w:tcPr>
            <w:tcW w:w="88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invest in our common stock.</w:t>
            </w:r>
          </w:p>
        </w:tc>
      </w:tr>
      <w:tr>
        <w:trPr>
          <w:trHeight w:val="432"/>
        </w:trPr>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88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“NNE”</w:t>
            </w:r>
          </w:p>
        </w:tc>
      </w:tr>
      <w:tr>
        <w:trPr>
          <w:trHeight w:val="226"/>
        </w:trPr>
        <w:tc>
          <w:tcPr>
            <w:tcW w:w="2380" w:type="dxa"/>
            <w:vAlign w:val="bottom"/>
            <w:tcBorders>
              <w:bottom w:val="single" w:sz="8" w:color="auto"/>
            </w:tcBorders>
          </w:tcPr>
          <w:p>
            <w:pPr>
              <w:spacing w:after="0"/>
              <w:rPr>
                <w:sz w:val="19"/>
                <w:szCs w:val="19"/>
                <w:color w:val="auto"/>
              </w:rPr>
            </w:pPr>
          </w:p>
        </w:tc>
        <w:tc>
          <w:tcPr>
            <w:tcW w:w="8860" w:type="dxa"/>
            <w:vAlign w:val="bottom"/>
            <w:tcBorders>
              <w:bottom w:val="single" w:sz="8" w:color="auto"/>
            </w:tcBorders>
          </w:tcPr>
          <w:p>
            <w:pPr>
              <w:spacing w:after="0"/>
              <w:rPr>
                <w:sz w:val="19"/>
                <w:szCs w:val="19"/>
                <w:color w:val="auto"/>
              </w:rPr>
            </w:pPr>
          </w:p>
        </w:tc>
      </w:tr>
      <w:tr>
        <w:trPr>
          <w:trHeight w:val="429"/>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color w:val="auto"/>
              </w:rPr>
              <w:t>S-16</w:t>
            </w:r>
          </w:p>
        </w:tc>
      </w:tr>
    </w:tbl>
    <w:p>
      <w:pPr>
        <w:sectPr>
          <w:pgSz w:w="11900" w:h="16838" w:orient="portrait"/>
          <w:cols w:equalWidth="0" w:num="1">
            <w:col w:w="11240"/>
          </w:cols>
          <w:pgMar w:left="320" w:top="914"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securities is speculative and involves a high degree of risk. </w:t>
      </w:r>
      <w:r>
        <w:rPr>
          <w:rFonts w:ascii="Times New Roman" w:cs="Times New Roman" w:eastAsia="Times New Roman" w:hAnsi="Times New Roman"/>
          <w:sz w:val="18"/>
          <w:szCs w:val="18"/>
          <w:i w:val="1"/>
          <w:iCs w:val="1"/>
          <w:color w:val="auto"/>
        </w:rPr>
        <w:t>Before deciding whether to invest in our securities, you should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carefully consider the risk factors we describe in this prospectus, in addition to the risks and uncertainties discussed above under “Cautionary Note Regarding Forward-Looking Statements,” together with the risk factors described in our 2025 Annual Report on Form 10-K for the fiscal year ended September 30, 2025, subsequent Quarterly Reports on Form 10-Q, any current reports on Form 8-K, together with any applicable prospectus supplements and any related free writing prospectuses, as well as any other documents incorporated by reference in this prospectus or such prospectus supplements. Additional risks and uncertainties not presently known to us or that we currently consider immaterial could also adversely affect us. In addition, you should consider the following risks relevant to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Agreement, nor the gross proceeds resulting from those sales.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Agreement and compliance with applicable law, we have the discretion to deliver a placement notice to the Sales Agents at any time throughout the term of the Agreement. The number of shares that are sold through the Sales Agents after delivering a placement notice will fluctuate based on a number of factors, including the market price of the common stock during the sales period, the limits we set with the Selling Sales Agent (as defined below)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and investors who buy shares at different times will likely pay different prices.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our existing cash and may invest or spend the proceeds in ways with which you do not agree and in ways that may not yield a return on your investment.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such application. You will not have the opportunity, as part of your investment decision, to assess whether the net proceeds are being used appropriately.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immediate and substantial dilution.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common stock outstanding prior to this offering. Assuming that an aggregate of $400,000,000 of shares of our common stock are sold in this offering at a price of $23.54 per share, the last reported sale price of our common stock on Nasdaq on March 6, 2026, for aggregate net proceeds of approximately $388 million after deducting commissions and estimated aggregate offering expenses payable by us, and after giving effect to the receipt, after December 31, 2025, of (a) $2,775,000 upon exercise of options, and (b) $26,500 upon exercise of warrants, you will experience immediate dilution of $9.25 per share.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on page S-</w:t>
      </w:r>
    </w:p>
    <w:p>
      <w:pPr>
        <w:spacing w:after="0" w:line="3" w:lineRule="exact"/>
        <w:rPr>
          <w:sz w:val="20"/>
          <w:szCs w:val="20"/>
          <w:color w:val="auto"/>
        </w:rPr>
      </w:pPr>
    </w:p>
    <w:p>
      <w:pPr>
        <w:ind w:firstLine="8"/>
        <w:spacing w:after="0" w:line="260"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of dilution to investors in this offering will depend on the sales price at which we sell stock and our net tangible book value per share at the of any sale. See the section entitled “Dilution” below for a more detailed illustration of the dilution you may incur if you participate in this offering.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equity securities in the future, your ownership in us could be diluted.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our common stock to decline and result in significant dilution for holders of our common stock. For example, from October 1, 2025 through December 31, 2025, we issued 8,490,767 shares of common stock through equity financings, 140,169 shares of our common stock related to warrant exercises, 195,000 shares of our common stock related to stock option exercises, and 17,500 shares of our common stock related to restricted stock units. In addition, the vesting of restricted stock units and the exercise of outstanding stock options and warrants may result in further dilution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declaring any cash dividends on our common stock, which may adversely impact the market price of our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 If we do not pay dividends, our stock may be less valuable to you because a return on your investment will only occur if our stock price appreciates.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significant number of shares of our common stock in the public markets, or the perception that such sales could occur as a result of our utilization of a universal shelf registration statement, our Agreement with the Sales Agents or otherwise could depress the market price of our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authorized shares of our common stock available for issuance which may limit our ability to issue securities in connection with capital raises, including this offering, for acquisitions or strategic partnerships or as compensation to our employees and directors in the future, unless we obtain stockholder approval to amend our amended articles of incorporation, referred to herein as our charter. Our inability to issue shares of our common stock could materially adversely affect our business and strategy.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historically used our shares of common stock to raise capital, consummate acquisitions and compensate our employees and directors. We are currently authorized to issue 275,000,000 shares of common stock. As of March 6, 2026, 52,083,194 shares of common stock were outstanding. Additionally, as of March 6, 2026, there were 2,985,750 shares of common stock issuable upon exercise of outstanding warrants, 1,984,000 shares of common stock issuable upon exercise of outstanding stock options, and 757,014 shares of common stock issuable upon vesting of restricted stock units. We may not be able to offer and sell the total amount under the Agreement and this prospectus, nor be able to continue issuing securities to meet our business objectives, unless we increase the number of shares we are authorized to issue. There can be no assurance that we will elect to seek stockholder approval to increase our authorized shares of common stock under our charter or, if we do, that we will be able to secure the necessary stockholder approval to increase our authorized shares of common stock under our charter. Our inability to issue shares of our common stock could materially adversely affect our business and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timing and outcome of NRC review and licensing are uncertain and outside of our control, which could delay or prevent our planned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NRC must review and approve certain applications and licensing actions relevant to our operations. NRC guidance indicates that an initial acceptability determination for an application is generally expected to occur within approximately 60 days; however, this timing is not guaranteed and may vary. After docketing, the duration of the NRC’s safety and environmental reviews is not fixed and is not typically completed within a single year. There can be no assurance as to the timing of completion of such reviews. The duration of the NRC’s review process may vary materially based on numerous factors, including, among other things, the completeness and quality of the application at submission, the number and complexity of NRC requests for additional information, the extent to which the application relies on previously reviewed topical reports, NRC staffing and resource availability, the scope and outcome of any required hearings, and the type and complexity of the environmental review, including whether an environmental impact statement is required. Accordingly, the timing of NRC review and any resulting licensing decisions is inherently uncertain and largely outside the Company’s control and any delays in the review process could materially and adversely affect the Company’s business, financial condition, and results of operations.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NRC review processes may take longer than anticipated, may require substantial additional resources, or may ultimately result in delays, conditions, or denials. Any such outcome could materially and adversely affect the timing, cost, or feasibility of our planned activities and could have a material adverse effect on our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 proceeds of up to $400,000,000 from time to time. The amount of proceeds from this offering will depend on the number of shares of our common stock sold in this offering and the price at which they are sold. There can be no assurance that we will be able to sell any shares under or fully utilize the Agreement with the Sales Agents as a source of financing. Because there is no minimum offering amount required as a condition to close this offering, the actual total public offering amount, commissions and proceeds to us, if any, are not determinable at this time.</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if any, for the advancement and development of our technologies, particularly our KRONOS MMR™ reactor, general working capital and general corporate purposes. These purposes may include, from time to time, investing in or acquiring businesses, assets, or technologies that are complementary to our business strategy. As of the date of this prospectus supplement, we are not a party to any definitive agreements or commitments with respect to any such acquisitions.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this offering is being conducted on an at-the-market (“ATM”) basis, the timing and amount of any proceeds, as well as the specific uses thereof, are not presently determinable and will depend on a variety of factors, including the market price of our securities at the time of sale, actual proceeds received, and our evolving business needs. Accordingly, our management will have broad discretion to allocate the net proceeds, if any, we receive in connection with shares of our common stock offered pursuant to this prospectus for any purpose. Pending use of the net proceeds, we intend to invest the net proceeds in short-term, interest-bearing, investment-grade securities or in cash or money market funds.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your interest will be immediately diluted to the extent of the difference between the price you pay per share and the adjusted net tangible book value per share of our common stock after this offering. “Net tangible book value” is total assets minus the sum of liabilities and intangible assets. “Net tangible book value per share” is net tangible book value divided by the total number of shares of common stock outstanding.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tangible book value on December 31, 2025 was approximately $596 million, or $11.79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our pro forma net tangible book value was approximately $599 million or $11.51 per share of our common stock. Pro forma net tangible book value represents the amount of our total tangible assets less our total liabilities, after giving effect to the receipt, after December 31, 2025, of (a) $2,775,000 upon exercise of options, and (b) $26,500 upon exercise of warrants.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giving effect to the above-mentioned pro forma adjustments and the sale of shares of our common stock in the aggregate amount of $400,000,000 in this offering at an assumed offering price of $23.54 per share, which was the last reported sale price of our common stock on Nasdaq on March 6, 2026, and after deducting estimated offering commissions and expenses payable by us, our net tangible book value as of December 31, 2025 would have been approximately $987 million or $14.29 per share of our common stock. This represents an immediate increase in net tangible book value of $2.78 per share to our existing stockholders and an immediate dilution in net tangible book value of $9.25 per share to investors participating in this offering. The following table illustrates this dilution per share to investors participating in this offering: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15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w:t>
            </w:r>
          </w:p>
        </w:tc>
        <w:tc>
          <w:tcPr>
            <w:tcW w:w="15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2025, before giving effect to this offering</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5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common stock in this offering</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discussion and table above assume, for illustrative purposes, that an aggregate of approximately 16,992,353 shares of our common stock are sold at a price of $23.54 per share, the last reported sale price of our common stock on Nasdaq on March 6, 2026, for aggregate gross proceeds of approximately $400,000,000. However, the shares sold in the applicable offering, if any, will likely be sold from time to time at various prices.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was based on an aggregate of 52,083,194 shares of common stock outstanding as of March 6, 2026. The number of shares outstanding excluded the following as of March 6, 2026:</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757,014 shares of our common stock issuable upon vesting of restricted stock units outstanding under our stock incentive plans;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1,984,000 shares of our common stock issuable upon exercise of stock options outstanding under our stock incentive plans, 1,640,000 of which are currently exercisable, which have a weighted average exercise price of $17.86 per share;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2,985,750 shares of our common stock issuable upon exercise of our outstanding warrants, which have a weighted average exercise price of $24.73.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dilution table above also excludes any securities, issued after March 6, 2026, including any shares issued upon vesting of any equity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of our outstanding options or warrants are exercised or restricted stock units vest, we grant additional options or other awards under our stock incentive plans or issue additional warrants or we issue additional shares of common stock in the future, investors may experience further dilution.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is not complete and may not contain all the information you should consider before investing in our common stock. For a more detailed description of these securities, you should read the applicable provisions of Nevada law and our charter and bylaws.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300,000,000 shares, par value $0.0001 per share, consisting of: 275,000,000 shares of common stock and 25,000,000 shares of preferred stock, all of which are currently undesignated.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1080"/>
        <w:spacing w:after="0" w:line="266" w:lineRule="auto"/>
        <w:rPr>
          <w:sz w:val="20"/>
          <w:szCs w:val="20"/>
          <w:color w:val="auto"/>
        </w:rPr>
      </w:pPr>
      <w:r>
        <w:rPr>
          <w:rFonts w:ascii="Times New Roman" w:cs="Times New Roman" w:eastAsia="Times New Roman" w:hAnsi="Times New Roman"/>
          <w:sz w:val="18"/>
          <w:szCs w:val="18"/>
          <w:color w:val="auto"/>
        </w:rPr>
        <w:t>As of March 6, 2026, there were 52,083,194 shares of the Company’s common stock issued and outstanding. In addition, as of March 6, 2026, there were 2,985,750 shares of common stock issuable upon exercise of outstanding warrants, 1,984,000 shares of common stock issuable upon exercise of outstanding stock options, and 757,014 shares of common stock issuable upon vesting of restricted stock units.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charter provides that each holder of common stock shall have the right to one (1) vote per share of common stock held of record by such holder as of the applicable record date on all matters submitted to a vote at any meeting of stockholders. The holders of outstanding shares of common stock are entitled to receive dividends out of assets or funds legally available for the payment of dividends of such times and in such amounts as our board of directors from time to time may determine. Our common stock is not entitled to pre-emptive rights and is not subject to redemption. Upon liquidation, dissolution or winding up of our company, the assets legally available for distribution to stockholders are distributable ratably among the holders of our common stock after payment of liquidation preferences, if any, on any outstanding payment of other claims of creditors. The rights, preferences and privileges of holders of common stock are subject to and may be adversely affected by the rights of the holders of shares of any series of preferred stock that we may designate and issue in the future. Our common stock is listed on Nasdaq under the trading symbol “NNE.” The transfer agent and registrar for our common stock is VStock Transfer, LLC, 18 Lafayette Place, Woodmere, NY 11598.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entered into a sales agreement (the “Agreement”) with TD Securities (USA) LLC (“TD Cowen”), UBS Securities LLC and Piper Sandler</w:t>
      </w:r>
    </w:p>
    <w:p>
      <w:pPr>
        <w:spacing w:after="0" w:line="27" w:lineRule="exact"/>
        <w:rPr>
          <w:sz w:val="20"/>
          <w:szCs w:val="20"/>
          <w:color w:val="auto"/>
        </w:rPr>
      </w:pPr>
    </w:p>
    <w:p>
      <w:pPr>
        <w:jc w:val="both"/>
        <w:ind w:firstLine="8"/>
        <w:spacing w:after="0" w:line="255" w:lineRule="auto"/>
        <w:tabs>
          <w:tab w:leader="none" w:pos="1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(each a “Sales Agent” and together, the “Sales Agents”), under which we may offer and sell up to $400,000,000 of shares of our common stock from time to time through the Sales Agents acting as agents, or directly to the Sales Agents acting as principals, in each case severally and not jointly. Sales pursuant to the Agreement may be made through affiliates of the Sales Agents.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in negotiated transactions, including block trades, or transactions that are deemed to be “at-the-market” offerings as defined in Rule 415 under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Subject to the terms and conditions of the Agreement, the Sales Agents will act as our sales agents using their commercially reasonable efforts consistent with their normal trading and sales practices. The Sales Agents are not required to sell any specific amount of our common stock. There is no arrangement for funds to be received in any escrow, trust or similar arrangement. As our agents, the Sales Agents will not engage in any transactions that stabilize the price of our common stock. The Sales Agents may also purchase shares of our common stock as principals.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designate the maximum amount of common stock to be sold through the applicable Sales Agent (in the case of each sale, the “Selling Sales Agent”) on a daily basis or otherwise as we and the Sales Agents agree, and the minimum price per share at which such common stock may be sold. Subject to the terms and conditions of the Agreement, the Selling Sales Agent will use its commercially reasonable efforts to sell on our behalf all of the designated common stock on such day. We or the Sales Agents may suspend the offering of our common stock at any time and from time to time by notifying the other party.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Sales Agent will provide us written confirmation following the close of trading on Nasdaq each day on which shares of our common stock are sold under the Agreement. Each confirmation will include (i) the amount of shares sold on such day, (ii) the aggregate gross offering proceeds received from such sale and the net proceeds to the Company and (iii) the compensation payable by us to the Selling Sales Agent with respect to such sales. Such compensation shall be set forth and invoiced in periodic statements from each Sales Agent to the Company, with payment to be made by the Company promptly after its receipt thereof. We will report at least quarterly the number of shares of common stock sold through the Sales Agents under the Agreement and the net proceeds to us in connection with the sales of the common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compensation payable to the Sales Agents equals up to 3.0% of the gross sales price of the shares sold through them pursuant to the Agreement. We have also agreed to provide indemnification and contribution to the Sales Agents with respect to certain liabilities, including civil liabilities under the Securities Act. Because there is no minimum offering amount required as a condition to close this offering, the actual total public offering amount, commissions and proceeds to us, if any, are not determinable at this time. Except as we and the Sales Agents otherwise agree, we will reimburse the Sales Agents for the fees and disbursements of its counsel, in an amount not to exceed $75,000. We estimate that the total expenses for the offering, excluding any commissions or expense reimbursement payable to the Sales Agents under the terms of the Agreement, will be approximately $500,000. The remaining proceeds, after deducting any other transaction fees, will equal our net proceeds from the sale of our shares in this offering.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Company and the Sales Agents agree otherwise, on the first business day that is also a trading day following the date on which such sales are made.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 of shares of common stock on our behalf, each of the Sales Agents will be deemed to be an “underwriter” within the meaning of the Securities Act and the compensation of the Sales Agents will be deemed to be underwriting discounts or commissions.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Agreement may be terminated by any Sales Agent or us at any time upon notice to the other party, or by any Sales Agent at any time in certain circumstances set forth in the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Sales Agents and/or affiliates of the Sales Agents have, from time to time, performed, and may in the future perform, various financial advisory and commercial and investment banking services for us and our affiliates, for which they have received and may in the future receive customary fees.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shares of common stock are listed on Nasdaq and trade under the symbol “NNE.” The transfer agent of our common stock is VStock Transfer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common stock offered by this prospectus has been passed upon for us by Parsons Behle &amp; Latimer, Reno, Nevada. The Sales Agents are being represented in connection with this offering by Nelson Mullins Riley &amp; Scarborough LLP, Washington, D.C.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Nano Nuclear Energy, Inc. and its consolidated subsidiaries, as of and for the fiscal years ended September 30, 2025 and 2024, incorporated in this prospectus by reference to our 2025 Annual Report on Form 10-K for the fiscal year ended September 30, 2025, have been so incorporated in reliance on the report of WithumSmith+Brown, PC, an independent registered public accounting firm, given on the authority of said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is part of the registration statement on Form S-3 that we have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to the exhibits to the reports or other documents incorporated by reference in this prospectus, for a copy of such contract, agreement or other document. We file annual, quarterly and periodic reports, proxy statements and other information with the SEC, using its EDGAR system. The SEC provides free public access, through its website, to items publicly filed in the EDGAR system, including our items. The address of the SEC’s website is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www.nanonuclearenergy.com</w:t>
      </w:r>
      <w:r>
        <w:rPr>
          <w:rFonts w:ascii="Times New Roman" w:cs="Times New Roman" w:eastAsia="Times New Roman" w:hAnsi="Times New Roman"/>
          <w:sz w:val="18"/>
          <w:szCs w:val="18"/>
          <w:color w:val="auto"/>
        </w:rPr>
        <w:t>.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have filed or will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under Sections 13(a), 13(c), 14 or 15(d) of the Exchange Act (1) after the date of the initial registration statement, as amended, and prior to effectiveness of the registration statement, and (2) after the date of this prospectus and prior to the termination of this offering, from their respective filing dates (other than any portions thereof, which under the Exchange Act, and applicable SEC rules, are not deemed “filed” under the Exchange Act). Such information will automatically update and supersede the information contained in this prospectus and the documents listed below:</w:t>
      </w:r>
    </w:p>
    <w:p>
      <w:pPr>
        <w:spacing w:after="0" w:line="192"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December 18, 2025 (the “2025 Annual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89">
        <w:r>
          <w:rPr>
            <w:rFonts w:ascii="Times New Roman" w:cs="Times New Roman" w:eastAsia="Times New Roman" w:hAnsi="Times New Roman"/>
            <w:sz w:val="18"/>
            <w:szCs w:val="18"/>
            <w:u w:val="single" w:color="auto"/>
            <w:color w:val="0000EE"/>
          </w:rPr>
          <w:t>October 10, 2025</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auto"/>
        </w:rPr>
        <w:t xml:space="preserve">, and </w:t>
      </w:r>
      <w:hyperlink r:id="rId91">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 respectively (excluding any information therein disclosed under Items 2.02 or 7.01 or any corresponding information furnished under Item 9.01 or included as an exhibit);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(“Quarterly Report”) on </w:t>
      </w:r>
      <w:hyperlink r:id="rId9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17, 2026; and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of common stock contained in our registration statement on </w:t>
      </w:r>
      <w:hyperlink r:id="rId93">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May 6, 2024.</w:t>
      </w:r>
    </w:p>
    <w:p>
      <w:pPr>
        <w:spacing w:after="0" w:line="225"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all documents and/or reports that we file with the SEC pursuant to Sections 13(a), 13(c), 14, and 15(d) of the Exchange Act subsequent to the date of the registration statement of which this prospectus is a part, and prior to the termination or completion of any applicable offering of securities under this prospectus or the filing of a post-effective amendment to such registration statement that indicates that all securities offered under this prospectus have been sold, or that deregisters all securities then remaining unsold, will be deemed to be incorporated herein by reference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none of the information that we disclose under Items 2.02 or 7.01 of any Current Report on Form 8-K, or any corresponding information furnished under Item 9.01 or included as an exhibit, that we may from time to time furnish to the SEC, will be incorporated by reference in,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80"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request, orally or in writing, a copy of the documents we incorporate by reference, which will be provided to you at no cost (other than exhibits, unless such exhibits are specifically incorporated by reference), by contacting our Secretary, c/o Nano Nuclear Energy Inc. at 10 Times Square, 30th Floor, New York, NY 10018. Our telephone number is (212) 634-9206.</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2197100</wp:posOffset>
            </wp:positionH>
            <wp:positionV relativeFrom="page">
              <wp:posOffset>448945</wp:posOffset>
            </wp:positionV>
            <wp:extent cx="3154680" cy="916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315468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$400,000,000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0"/>
        <w:spacing w:after="0"/>
        <w:tabs>
          <w:tab w:leader="none" w:pos="3360" w:val="left"/>
          <w:tab w:leader="none" w:pos="7460" w:val="left"/>
        </w:tabs>
        <w:rPr>
          <w:sz w:val="20"/>
          <w:szCs w:val="20"/>
          <w:color w:val="auto"/>
        </w:rPr>
      </w:pPr>
      <w:r>
        <w:rPr>
          <w:rFonts w:ascii="Times New Roman" w:cs="Times New Roman" w:eastAsia="Times New Roman" w:hAnsi="Times New Roman"/>
          <w:sz w:val="25"/>
          <w:szCs w:val="25"/>
          <w:b w:val="1"/>
          <w:bCs w:val="1"/>
          <w:color w:val="auto"/>
        </w:rPr>
        <w:t>TD Cowen</w:t>
      </w:r>
      <w:r>
        <w:rPr>
          <w:sz w:val="20"/>
          <w:szCs w:val="20"/>
          <w:color w:val="auto"/>
        </w:rPr>
        <w:tab/>
      </w:r>
      <w:r>
        <w:rPr>
          <w:rFonts w:ascii="Times New Roman" w:cs="Times New Roman" w:eastAsia="Times New Roman" w:hAnsi="Times New Roman"/>
          <w:sz w:val="25"/>
          <w:szCs w:val="25"/>
          <w:b w:val="1"/>
          <w:bCs w:val="1"/>
          <w:color w:val="auto"/>
        </w:rPr>
        <w:t>UBS Investment Bank</w:t>
      </w:r>
      <w:r>
        <w:rPr>
          <w:sz w:val="20"/>
          <w:szCs w:val="20"/>
          <w:color w:val="auto"/>
        </w:rPr>
        <w:tab/>
      </w:r>
      <w:r>
        <w:rPr>
          <w:rFonts w:ascii="Times New Roman" w:cs="Times New Roman" w:eastAsia="Times New Roman" w:hAnsi="Times New Roman"/>
          <w:sz w:val="25"/>
          <w:szCs w:val="25"/>
          <w:b w:val="1"/>
          <w:bCs w:val="1"/>
          <w:color w:val="auto"/>
        </w:rPr>
        <w:t>Piper Sandler</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142875</wp:posOffset>
            </wp:positionV>
            <wp:extent cx="3128645" cy="917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128645" cy="917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80"/>
          </w:cols>
          <w:pgMar w:left="320" w:top="65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any one of the following securities of Nano Nuclear Energy Inc. (the “Company,” “we,” “us” or “our”), for total gross proceeds of up to $900,000,000:</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$0.0001 per share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include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directly to purchasers or through a combination of these methods, on a continuous or delayed basis. If any underwriters, dealers or agents are involved in the sale of any securities with respect to which this prospectus is being delivered, the names of such underwriters, dealers or agents and any applicable fees, commissions, discounts or options to purchase additional shares to be provided to them will be set forth in a prospectus supplement. The prospectus supplement for each offering of securities will describe in detail the plan of distribution for that offering. The price to the public of such securities and the net proceeds we expect to receive from such a sale will also be set forth in the prospectus supplement. For general information about the distribution of securities offered, please see “Plan of Distribution” in this prospectus.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Each time our securities are offered, we will provide a prospectus supplement containing more specific information about the particular offering and attach it to this prospectus. The prospectus supplements may also add, update or change information contained in this prospectus. You should carefully read this prospectus, the applicable prospectus supplement and any related free writing prospectuses, as well as any documents incorporated by reference, before purchasing any of the securities being offered.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without a prospectus supplement that includes a description of the method and terms of the offering.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Capital Market tier of The Nasdaq Stock Market LLC (“Nasdaq”) under the symbol “NNE.” The last reported sale price of our common stock on March 6, 2026 was $23.54 per share.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decide to seek a listing of any preferred stock, purchase contracts, warrants, subscription rights, depositary shares, debt securities or units offered by this prospectus, the related prospectus supplement will disclose the exchange or market on which the securities will be listed, if any, or where we have applied for listing, if anywhere.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 investment in the securities offered through this prospectus is speculative and involves a high degree of risk. </w:t>
      </w:r>
      <w:r>
        <w:rPr>
          <w:rFonts w:ascii="Times New Roman" w:cs="Times New Roman" w:eastAsia="Times New Roman" w:hAnsi="Times New Roman"/>
          <w:sz w:val="18"/>
          <w:szCs w:val="18"/>
          <w:b w:val="1"/>
          <w:bCs w:val="1"/>
          <w:color w:val="auto"/>
        </w:rPr>
        <w:t>You should carefully consider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risk factors beginning on page 17 of this prospectus and the risk factors in our most recent Annual Report on Form 10-K, which is incorporated by reference herein, as well as the risk factors in our other recently filed quarterly and current reports incorporated by reference herein, and in the relevant prospectus supplements. We urge you to carefully read this prospectus, the applicable prospectus supplements and any related free writing prospectuses, as well as any documents incorporated by reference in this prospectus or any prospectus amendments or supplements, before investing.</w:t>
      </w:r>
    </w:p>
    <w:p>
      <w:pPr>
        <w:sectPr>
          <w:pgSz w:w="11900" w:h="16838" w:orient="portrait"/>
          <w:cols w:equalWidth="0" w:num="1">
            <w:col w:w="11240"/>
          </w:cols>
          <w:pgMar w:left="320" w:top="657" w:right="339" w:bottom="0" w:gutter="0" w:footer="0" w:header="0"/>
          <w:type w:val="continuous"/>
        </w:sectPr>
      </w:pPr>
    </w:p>
    <w:bookmarkStart w:id="36" w:name="page37"/>
    <w:bookmarkEnd w:id="3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9"/>
        </w:trPr>
        <w:tc>
          <w:tcPr>
            <w:tcW w:w="4400" w:type="dxa"/>
            <w:vAlign w:val="bottom"/>
            <w:gridSpan w:val="1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w:t>
            </w:r>
          </w:p>
        </w:tc>
        <w:tc>
          <w:tcPr>
            <w:tcW w:w="62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2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400" w:type="dxa"/>
            <w:vAlign w:val="bottom"/>
            <w:gridSpan w:val="14"/>
            <w:shd w:val="clear" w:color="auto" w:fill="CAEDFB"/>
          </w:tcPr>
          <w:p>
            <w:pPr>
              <w:spacing w:after="0" w:line="176" w:lineRule="exact"/>
              <w:rPr>
                <w:sz w:val="20"/>
                <w:szCs w:val="20"/>
                <w:color w:val="auto"/>
              </w:rPr>
            </w:pPr>
            <w:r>
              <w:rPr>
                <w:rFonts w:ascii="Times New Roman" w:cs="Times New Roman" w:eastAsia="Times New Roman" w:hAnsi="Times New Roman"/>
                <w:sz w:val="18"/>
                <w:szCs w:val="18"/>
                <w:color w:val="0000EE"/>
              </w:rPr>
              <w:t>Industry and Market Data</w:t>
            </w:r>
          </w:p>
        </w:tc>
        <w:tc>
          <w:tcPr>
            <w:tcW w:w="6200" w:type="dxa"/>
            <w:vAlign w:val="bottom"/>
            <w:shd w:val="clear" w:color="auto" w:fill="CAEDFB"/>
          </w:tcPr>
          <w:p>
            <w:pPr>
              <w:spacing w:after="0"/>
              <w:rPr>
                <w:sz w:val="17"/>
                <w:szCs w:val="17"/>
                <w:color w:val="auto"/>
              </w:rPr>
            </w:pPr>
          </w:p>
        </w:tc>
        <w:tc>
          <w:tcPr>
            <w:tcW w:w="640" w:type="dxa"/>
            <w:vAlign w:val="bottom"/>
            <w:shd w:val="clear" w:color="auto" w:fill="CAEDFB"/>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5"/>
        </w:trPr>
        <w:tc>
          <w:tcPr>
            <w:tcW w:w="18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540" w:type="dxa"/>
            <w:vAlign w:val="bottom"/>
            <w:tcBorders>
              <w:top w:val="single" w:sz="8" w:color="CAEDFB"/>
            </w:tcBorders>
            <w:gridSpan w:val="4"/>
          </w:tcPr>
          <w:p>
            <w:pPr>
              <w:spacing w:after="0"/>
              <w:rPr>
                <w:sz w:val="15"/>
                <w:szCs w:val="15"/>
                <w:color w:val="auto"/>
              </w:rPr>
            </w:pPr>
          </w:p>
        </w:tc>
        <w:tc>
          <w:tcPr>
            <w:tcW w:w="6200" w:type="dxa"/>
            <w:vAlign w:val="bottom"/>
            <w:tcBorders>
              <w:top w:val="single" w:sz="8" w:color="CAEDFB"/>
            </w:tcBorders>
          </w:tcPr>
          <w:p>
            <w:pPr>
              <w:spacing w:after="0"/>
              <w:rPr>
                <w:sz w:val="15"/>
                <w:szCs w:val="15"/>
                <w:color w:val="auto"/>
              </w:rPr>
            </w:pPr>
          </w:p>
        </w:tc>
        <w:tc>
          <w:tcPr>
            <w:tcW w:w="640" w:type="dxa"/>
            <w:vAlign w:val="bottom"/>
            <w:tcBorders>
              <w:top w:val="single" w:sz="8" w:color="CAEDFB"/>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860" w:type="dxa"/>
            <w:vAlign w:val="bottom"/>
            <w:tcBorders>
              <w:bottom w:val="single" w:sz="8" w:color="CCEEFF"/>
            </w:tcBorders>
            <w:gridSpan w:val="6"/>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61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4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AEDFB"/>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tcBorders>
              <w:bottom w:val="single" w:sz="8" w:color="CAEDFB"/>
            </w:tcBorders>
            <w:gridSpan w:val="9"/>
            <w:shd w:val="clear" w:color="auto" w:fill="CAEDFB"/>
          </w:tcPr>
          <w:p>
            <w:pPr>
              <w:spacing w:after="0"/>
              <w:rPr>
                <w:sz w:val="17"/>
                <w:szCs w:val="17"/>
                <w:color w:val="auto"/>
              </w:rPr>
            </w:pPr>
          </w:p>
        </w:tc>
        <w:tc>
          <w:tcPr>
            <w:tcW w:w="6840" w:type="dxa"/>
            <w:vAlign w:val="bottom"/>
            <w:tcBorders>
              <w:bottom w:val="single" w:sz="8" w:color="CAEDFB"/>
            </w:tcBorders>
            <w:gridSpan w:val="2"/>
            <w:shd w:val="clear" w:color="auto" w:fill="CAEDFB"/>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84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20" w:type="dxa"/>
            <w:vAlign w:val="bottom"/>
            <w:tcBorders>
              <w:bottom w:val="single" w:sz="8" w:color="0000EE"/>
            </w:tcBorders>
            <w:gridSpan w:val="6"/>
            <w:shd w:val="clear" w:color="auto" w:fill="CAEDFB"/>
          </w:tcPr>
          <w:p>
            <w:pPr>
              <w:spacing w:after="0" w:line="176" w:lineRule="exact"/>
              <w:rPr>
                <w:sz w:val="20"/>
                <w:szCs w:val="20"/>
                <w:color w:val="auto"/>
              </w:rPr>
            </w:pPr>
            <w:r>
              <w:rPr>
                <w:rFonts w:ascii="Times New Roman" w:cs="Times New Roman" w:eastAsia="Times New Roman" w:hAnsi="Times New Roman"/>
                <w:sz w:val="18"/>
                <w:szCs w:val="18"/>
                <w:color w:val="0000EE"/>
                <w:w w:val="99"/>
              </w:rPr>
              <w:t>Forms of Securities</w:t>
            </w:r>
          </w:p>
        </w:tc>
        <w:tc>
          <w:tcPr>
            <w:tcW w:w="2980" w:type="dxa"/>
            <w:vAlign w:val="bottom"/>
            <w:tcBorders>
              <w:bottom w:val="single" w:sz="8" w:color="CAEDFB"/>
            </w:tcBorders>
            <w:gridSpan w:val="8"/>
            <w:shd w:val="clear" w:color="auto" w:fill="CAEDFB"/>
          </w:tcPr>
          <w:p>
            <w:pPr>
              <w:spacing w:after="0"/>
              <w:rPr>
                <w:sz w:val="17"/>
                <w:szCs w:val="17"/>
                <w:color w:val="auto"/>
              </w:rPr>
            </w:pPr>
          </w:p>
        </w:tc>
        <w:tc>
          <w:tcPr>
            <w:tcW w:w="6840" w:type="dxa"/>
            <w:vAlign w:val="bottom"/>
            <w:tcBorders>
              <w:bottom w:val="single" w:sz="8" w:color="CAEDFB"/>
            </w:tcBorders>
            <w:gridSpan w:val="2"/>
            <w:shd w:val="clear" w:color="auto" w:fill="CAEDFB"/>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4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4"/>
            <w:shd w:val="clear" w:color="auto" w:fill="CAEDFB"/>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80" w:type="dxa"/>
            <w:vAlign w:val="bottom"/>
            <w:tcBorders>
              <w:bottom w:val="single" w:sz="8" w:color="CAEDFB"/>
            </w:tcBorders>
            <w:gridSpan w:val="10"/>
            <w:shd w:val="clear" w:color="auto" w:fill="CAEDFB"/>
          </w:tcPr>
          <w:p>
            <w:pPr>
              <w:spacing w:after="0"/>
              <w:rPr>
                <w:sz w:val="17"/>
                <w:szCs w:val="17"/>
                <w:color w:val="auto"/>
              </w:rPr>
            </w:pPr>
          </w:p>
        </w:tc>
        <w:tc>
          <w:tcPr>
            <w:tcW w:w="6840" w:type="dxa"/>
            <w:vAlign w:val="bottom"/>
            <w:tcBorders>
              <w:bottom w:val="single" w:sz="8" w:color="CAEDFB"/>
            </w:tcBorders>
            <w:gridSpan w:val="2"/>
            <w:shd w:val="clear" w:color="auto" w:fill="CAEDFB"/>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4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4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AEDFB"/>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520" w:type="dxa"/>
            <w:vAlign w:val="bottom"/>
            <w:tcBorders>
              <w:bottom w:val="single" w:sz="8" w:color="CAEDFB"/>
            </w:tcBorders>
            <w:gridSpan w:val="3"/>
            <w:shd w:val="clear" w:color="auto" w:fill="CAEDFB"/>
          </w:tcPr>
          <w:p>
            <w:pPr>
              <w:spacing w:after="0"/>
              <w:rPr>
                <w:sz w:val="17"/>
                <w:szCs w:val="17"/>
                <w:color w:val="auto"/>
              </w:rPr>
            </w:pPr>
          </w:p>
        </w:tc>
        <w:tc>
          <w:tcPr>
            <w:tcW w:w="6840" w:type="dxa"/>
            <w:vAlign w:val="bottom"/>
            <w:tcBorders>
              <w:bottom w:val="single" w:sz="8" w:color="CAEDFB"/>
            </w:tcBorders>
            <w:gridSpan w:val="2"/>
            <w:shd w:val="clear" w:color="auto" w:fill="CAEDFB"/>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366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740" w:type="dxa"/>
            <w:vAlign w:val="bottom"/>
            <w:gridSpan w:val="2"/>
          </w:tcPr>
          <w:p>
            <w:pPr>
              <w:spacing w:after="0"/>
              <w:rPr>
                <w:sz w:val="15"/>
                <w:szCs w:val="15"/>
                <w:color w:val="auto"/>
              </w:rPr>
            </w:pPr>
          </w:p>
        </w:tc>
        <w:tc>
          <w:tcPr>
            <w:tcW w:w="6840" w:type="dxa"/>
            <w:vAlign w:val="bottom"/>
            <w:gridSpan w:val="2"/>
          </w:tcPr>
          <w:p>
            <w:pPr>
              <w:jc w:val="center"/>
              <w:ind w:left="60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Securities and Exchange Commission, or SEC, employing a “shelf” registration process. Under this shelf registration process, we may offer and sell, either individually or in combination, in one or more offerings, any of the securities described in this prospectus, for total gross proceeds of up to $900,000,000. 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may also add, update or change any of the information contained in this prospectus or in the documents that we have incorporated by reference in this prospectus. This prospectus may not be used to consummate a sale of securities unless it is accompanied by a prospectus supplement.</w:t>
      </w:r>
    </w:p>
    <w:p>
      <w:pPr>
        <w:spacing w:after="0" w:line="192"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urge you to read carefully this prospectus, the applicable prospectus supplement and any related free writing prospectuses, as well as any documents incorporated by reference as described under the heading “Incorporation of Certain Information by Reference,” before investing in any of the securities being offered. You should rely only on the information contained in, or incorporated by reference in, this prospectus and any applicable prospectus supplement, along with the information contained in any related free writing prospectuses. We have not authorized anyone to provide you with different or additional information.</w:t>
      </w:r>
    </w:p>
    <w:p>
      <w:pPr>
        <w:spacing w:after="0" w:line="183" w:lineRule="exact"/>
        <w:rPr>
          <w:sz w:val="20"/>
          <w:szCs w:val="20"/>
          <w:color w:val="auto"/>
        </w:rPr>
      </w:pPr>
    </w:p>
    <w:p>
      <w:pPr>
        <w:jc w:val="both"/>
        <w:ind w:firstLine="660"/>
        <w:spacing w:after="0" w:line="261" w:lineRule="auto"/>
        <w:rPr>
          <w:sz w:val="20"/>
          <w:szCs w:val="20"/>
          <w:color w:val="auto"/>
        </w:rPr>
      </w:pPr>
      <w:r>
        <w:rPr>
          <w:rFonts w:ascii="Times New Roman" w:cs="Times New Roman" w:eastAsia="Times New Roman" w:hAnsi="Times New Roman"/>
          <w:sz w:val="18"/>
          <w:szCs w:val="18"/>
          <w:color w:val="auto"/>
        </w:rPr>
        <w:t>This prospectus is an offer to sell only the securities offered hereby, and only under circumstances and in jurisdictions where it is lawful to do so. The distribution of this prospectus and the offering of securities in certain jurisdictions may be restricted by law. Persons outside the United States who come into possession of this prospectus must inform themselves about, and observe any restrictions relating to, the offering of securities and the distribution of this prospectus outside the United States.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and any related free writing prospectuses is accurate only as of the date on the front of such document and any information we have incorporated by reference in this prospectus or any prospectus supplement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 To the extent there are inconsistencies between any prospectus supplement, this prospectus and any documents incorporated by reference, the document with the most recent date will control.</w:t>
      </w:r>
    </w:p>
    <w:p>
      <w:pPr>
        <w:spacing w:after="0" w:line="187" w:lineRule="exact"/>
        <w:rPr>
          <w:sz w:val="20"/>
          <w:szCs w:val="20"/>
          <w:color w:val="auto"/>
        </w:rPr>
      </w:pPr>
    </w:p>
    <w:p>
      <w:pPr>
        <w:jc w:val="both"/>
        <w:ind w:firstLine="660"/>
        <w:spacing w:after="0" w:line="254"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 and “Incorporation of Certain Information by Reference.” The representations, warranties and covenants made by us in any agreement that is filed as an exhibit to any document that is incorporated by reference in the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in this prospectus, any applicable prospectus supplement and any related free writing prospectuses, together with any information incorporated by reference in this prospectus and such prospectus supplement, contains “forward-looking statements” within the meaning of Section 27A of the Securities Act, and Section 21E of the Exchange Act. All statements other than statements of historical fact, including statements regarding our future operating results and financial position, our business strategy and plans, market growth, and our objectives for future operations, are forward-looking statements. These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“could,” “would,” “expect,” “anticipate,” “aim,” “estimate,” “intend,” “plan,” “believe,” “is/are likely to,” “potential,” “project,” “target,” “continue” or the negative of these terms or other similar expressions, although not all forward-looking statements may contain these words. Forward-looking statements are only predictions and are based largely on our current expectations and projections about future events and financial trends that we reasonably believe may affect our business, financial condition and results of operations. Although we believe that the expectations reflected in our forward-looking statements are reasonable, actual outcomes could differ materially from those projected or assumed in any of our forward-looking statements. Our future business, financial condition and results of operations, as well as any forward-looking statements, are subject to change given the inherent risks and uncertainties of market and industry conditions.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are neither predictions nor guarantees of future outcomes. Forward-looking statements present estimates and assumptions only as of the date on the cover of the document in which they are contained, and are subject to significant known and unknown risks, uncertainties and assumptions. Accordingly, you are cautioned not to place undue reliance on forward-looking statements, which speak only as of the dates on which they are made. Important factors that could cause actual outcomes to differ materially from those in the forward-looking statements include, but are not limited to, those summarized below:</w:t>
      </w:r>
    </w:p>
    <w:p>
      <w:pPr>
        <w:spacing w:after="0" w:line="183"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demonstrate, obtain regulatory approval for and ultimately sell our proposed nuclear reactors or other products, technologies or services we are developing.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or internally develop the necessary fuel and material supply chain to power our next generation of advanced nuclear reactors.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or internally develop the required transportation capabilities to move our reactors, their fuel, and other special materials critical to the commercial deployment of our reactor systems.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internally, and to externally provide, nuclear service support and consultation services for the expanding and resurgent nuclear energy industry, both domestically and internationally.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retain, and expand our technical and business staff to meet the demands of our expanding and diversifying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amount of additional funds that will be necessary for our business to succeed, which funds may not be available on acceptable terms or available at all.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key third party collaborators including, without limitation, The University of Illinois Urbana-Champaign, to perform their obligations to us and meet goals and timelines as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 or other products, technologies or services we are developing.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complex and time-consuming nuclear regulatory regimes in the jurisdictions we operate, including unanticipated regulations or regulatory failures that could add barriers, time and cost to our business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expenses, capital requirements, revenue potential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pre-revenue company in a rapidly evolving, complex and highly competitive industry with a business model that is still being developed and is largely untested.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 significant disruption in our information technology system, including security breaches, or our ability to implement new system and software successfully.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forward-looking statements regarding our company and its prospects included or incorporated by reference in this prospectus including, without limitation, those under “Risk Factors,” “Management’s Discussion and Analysis of Financial Condition and Results of Operations,” and “Business” as such factors may be updated from time to time in our other filings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Forward-looking statements necessarily involve risks and uncertainties, and our actual results could differ materially from those anticipated in the forward-looking statements due to a number of factors, including those set forth under “Risk Factors” and elsewhere contained or incorporated by reference in this prospectus. All written and oral forward-looking statements attributable to us or persons acting on our behalf are expressly qualified in their entirety by the cautionary statements contained above and throughout this prospectus. Prior to investing in our common stock, you should read this prospectus, our filings incorporated by reference herein and the documents we have filed as exhibits to this registration statement of which this prospectus is a part completely and with the understanding that our actual future results may be materially different from what we currently expect.</w:t>
      </w:r>
    </w:p>
    <w:p>
      <w:pPr>
        <w:spacing w:after="0" w:line="18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revise any forward-looking statements, whether as a result of new information, future events or otherwise, after the date on which the statements are made or to reflect the occurrence of unanticipated events.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otherwise indicated, data concerning economic conditions, our industry, our markets and our competitive position are based on a variety of sources, including information from third-party industry analysts, publications, surveys and forecasts and our own estimates and research. These data involve a number of assumptions, estimates and limitations. Industry publications, surveys and forecasts and other public information generally indicate or suggest that their information has been obtained from sources believed to be reliable. None of the third-party industry data used in this prospectus were prepared on our behalf. The industry in which we operate is subject to a high degree of uncertainty and risk due to a variety of factors, including those described in “Risk Factors.” These and other factors could cause results to differ materially from those expressed in these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or trade names that we use in connection with the operation of our businesses, our corporate names, logos and websites. We may make references to our trademarks and service marks, and to those belonging to other entities. Solely for convenience, trademarks and</w:t>
      </w: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trade names referred to may appear without ®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similar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an endorsement or sponsorship of us by, any other companies. All other trademarks and service marks are the property of their respective owners.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appearing elsewhere or incorporated by reference in this prospectus. Because it is only a summary, it does not contain all of the information that you should consider before investing in the shares offered hereby and it is qualified in its entirety by, and should be read in conjunction with, the more detailed information appearing elsewhere or incorporated by reference in this prospectus. This summary contains forward-looking statements that involve risks and uncertainties, such as statements about our plans, objectives, expectations, assumptions, or future events. These statements involve estimates, assumptions, known and unknown risks, uncertainties and other factors that could cause actual results to differ materially from any future results, performances or achievements expressed or implied by the forward-looking statements. See “Cautionary Note Regarding Forward-Looking Statements” before you decide to invest in our common stock, you should also read the entire prospectus carefully, including “Risk Factors” beginning on page 17, “Summary of Consolidated Financial Information” beginning on page 11, and the financial statements and related notes included or incorporated by reference in this prospectus.</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as used in this prospectus, the terms “we,” “us,” “our,” “our company,” “Nano Nuclear” and “our business” refer to Nano Nuclear Energy Inc.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a nuclear energy </w:t>
      </w:r>
      <w:r>
        <w:rPr>
          <w:rFonts w:ascii="Times New Roman" w:cs="Times New Roman" w:eastAsia="Times New Roman" w:hAnsi="Times New Roman"/>
          <w:sz w:val="18"/>
          <w:szCs w:val="18"/>
          <w:u w:val="single" w:color="auto"/>
          <w:color w:val="auto"/>
        </w:rPr>
        <w:t>and technology</w:t>
      </w:r>
      <w:r>
        <w:rPr>
          <w:rFonts w:ascii="Times New Roman" w:cs="Times New Roman" w:eastAsia="Times New Roman" w:hAnsi="Times New Roman"/>
          <w:sz w:val="18"/>
          <w:szCs w:val="18"/>
          <w:color w:val="auto"/>
        </w:rPr>
        <w:t xml:space="preserve"> company, developing smaller, simpler, and safer advanced clean energy solutions, utilizing proprietary reactor designs, intellectual property, and research methods, to contribute towards a sustainable future. Led by a world class scientific and management team, our business plan involves comprehensive engagement across every sector of the nuclear power and energy industry, traversing the path from sourcing raw materials through to developing cutting edge advanced nuclear microreactors. Our dedication extends further, encompassing ambitions within the commercial nuclear fuel transportation sector, the nuclear energy fuel supply chain, technology development, and nuclear consulting services.</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currently in the pre-revenue stage, and we have not generated any material revenues from our inception through December 31, 2025. For the three months ended December 31, 2025 and the years ended September 30, 2025 and 2024, our net loss was approximately $6.5 million, $40.1 million and $10.2 million, respectively, and our accumulated deficit was approximately $64.0 million, $57.5 million and $17.4 million, respectively.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are a relatively young company, having been formed in 2022, as of the date of this prospectus, we had 45 full-time employees and 18 independent contractors with an aggregate of 108 advanced degrees, including 33 master’s degrees in engineering, science, business, taxation and philosophy, 12 PhDs and two JDs (Juris Doctors - Doctor of Law). We have expanded our human capital resources extensively over the last two years, and while we expect to continue to grow the number of our employees and contractors as our business needs dictate, we believe that our existing personnel have the capacity to conduct our various current workstreams described below and to pursue the launch of our proposed business lines in parallel. We are also leveraging the expertise and experience of various third-party contracting firms who are supplementing our existing human capital resources by providing specialized services in several areas, including design engineering, procurement and construction management, enabling us to advance several initiatives concurrently.</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Readers should note that in this prospectus and the documents incorporated herein by reference, we provide our current estimated timelines for advancing and commercially launching our business lines, including key assumptions and variables. Based on our management’s experience, expertise and communications with applicable regulators and other stakeholders (such as third-party contractors), we believe we have a sufficient basis to provide reasonable timing estimates for our efforts, and our expectation is that we will meet such timing for our proposed business lines. However, readers are cautioned that our business plans are evolving and remain subject to the completion of ongoing technical, regulatory, and operational preparations, which are inherently uncertain and risky given the nature of our business and may be affected by factors beyond our control. Accordingly, no assurances can be given that we will be able to progress and commercially launch our several business lines as currently anticipated, or that such progress or commercial launches will occur in the timeframes we anticipate, if at all. For further information, please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and in the documents incorporated herein by reference,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our 2025 Annual Report (as defined below) on Form 10-K for the year ended September 30, 2025, which was filed on December 18, 2025, and our Quarterly Report (as defined below) on Form 10-Q for the three months ended December 31, 2025, which was filed on February 17,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Microreactor and Other Nuclear Technology Business Lines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principally focused on the following four business lines as part of our development strategy:</w:t>
      </w:r>
    </w:p>
    <w:p>
      <w:pPr>
        <w:spacing w:after="0" w:line="221" w:lineRule="exact"/>
        <w:rPr>
          <w:sz w:val="20"/>
          <w:szCs w:val="20"/>
          <w:color w:val="auto"/>
        </w:rPr>
      </w:pPr>
    </w:p>
    <w:p>
      <w:pPr>
        <w:jc w:val="both"/>
        <w:ind w:left="640" w:right="20" w:hanging="321"/>
        <w:spacing w:after="0" w:line="26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Reactor Business</w:t>
      </w:r>
      <w:r>
        <w:rPr>
          <w:rFonts w:ascii="Times New Roman" w:cs="Times New Roman" w:eastAsia="Times New Roman" w:hAnsi="Times New Roman"/>
          <w:sz w:val="18"/>
          <w:szCs w:val="18"/>
          <w:color w:val="auto"/>
        </w:rPr>
        <w:t>. We are developing the next generation of advanced nuclear microreactors, with our principal focus centered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KRONOS MMR™ Energy System</w:t>
      </w:r>
      <w:r>
        <w:rPr>
          <w:rFonts w:ascii="Times New Roman" w:cs="Times New Roman" w:eastAsia="Times New Roman" w:hAnsi="Times New Roman"/>
          <w:sz w:val="18"/>
          <w:szCs w:val="18"/>
          <w:color w:val="auto"/>
        </w:rPr>
        <w:t>. This high technology readiness level (or TRL), high-temperature gas-cooled reactor (or HTGR), Tristructural-Isotropic (or TRISO) fueled reactor is designed for both small- and large-scale operations, optimizing between size and output to allow for modularity and easier mass manufacturing, and efficient scalable energy generation.</w:t>
      </w:r>
    </w:p>
    <w:p>
      <w:pPr>
        <w:spacing w:after="0" w:line="176" w:lineRule="exact"/>
        <w:rPr>
          <w:rFonts w:ascii="Times New Roman" w:cs="Times New Roman" w:eastAsia="Times New Roman" w:hAnsi="Times New Roman"/>
          <w:sz w:val="18"/>
          <w:szCs w:val="18"/>
          <w:color w:val="auto"/>
        </w:rPr>
      </w:pPr>
    </w:p>
    <w:p>
      <w:pPr>
        <w:jc w:val="both"/>
        <w:ind w:left="64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portfolio of reactors also includes the </w:t>
      </w:r>
      <w:r>
        <w:rPr>
          <w:rFonts w:ascii="Times New Roman" w:cs="Times New Roman" w:eastAsia="Times New Roman" w:hAnsi="Times New Roman"/>
          <w:sz w:val="18"/>
          <w:szCs w:val="18"/>
          <w:b w:val="1"/>
          <w:bCs w:val="1"/>
          <w:color w:val="auto"/>
        </w:rPr>
        <w:t>LOKI MMR™ reactor</w:t>
      </w:r>
      <w:r>
        <w:rPr>
          <w:rFonts w:ascii="Times New Roman" w:cs="Times New Roman" w:eastAsia="Times New Roman" w:hAnsi="Times New Roman"/>
          <w:sz w:val="18"/>
          <w:szCs w:val="18"/>
          <w:color w:val="auto"/>
        </w:rPr>
        <w:t xml:space="preserve">, a portable nuclear reactor designed for versatility in application and deployment which is also a HTGR utilizing TRISO fuel, and </w:t>
      </w:r>
      <w:r>
        <w:rPr>
          <w:rFonts w:ascii="Times New Roman" w:cs="Times New Roman" w:eastAsia="Times New Roman" w:hAnsi="Times New Roman"/>
          <w:sz w:val="18"/>
          <w:szCs w:val="18"/>
          <w:b w:val="1"/>
          <w:bCs w:val="1"/>
          <w:color w:val="auto"/>
        </w:rPr>
        <w:t>ZEUS™ reactor</w:t>
      </w:r>
      <w:r>
        <w:rPr>
          <w:rFonts w:ascii="Times New Roman" w:cs="Times New Roman" w:eastAsia="Times New Roman" w:hAnsi="Times New Roman"/>
          <w:sz w:val="18"/>
          <w:szCs w:val="18"/>
          <w:color w:val="auto"/>
        </w:rPr>
        <w:t xml:space="preserve">, a portable modular solid core battery reactor. Through the collaboration of our world-renowned nuclear scientists and engineers, the U.S. national nuclear laboratories, and government support, we believe our reactors will have the potential to impact the global energy landscape. Our goal is to commercially launch these products in the 2030s, and we are aiming to commercially launch the KRONOS MMR™ Energy System first in the early 2030s as we are currently dedicating the most time and resources to such product. We also own the rights to the </w:t>
      </w:r>
      <w:r>
        <w:rPr>
          <w:rFonts w:ascii="Times New Roman" w:cs="Times New Roman" w:eastAsia="Times New Roman" w:hAnsi="Times New Roman"/>
          <w:sz w:val="18"/>
          <w:szCs w:val="18"/>
          <w:b w:val="1"/>
          <w:bCs w:val="1"/>
          <w:color w:val="auto"/>
        </w:rPr>
        <w:t>ODIN</w:t>
      </w:r>
      <w:r>
        <w:rPr>
          <w:rFonts w:ascii="Times New Roman" w:cs="Times New Roman" w:eastAsia="Times New Roman" w:hAnsi="Times New Roman"/>
          <w:sz w:val="18"/>
          <w:szCs w:val="18"/>
          <w:color w:val="auto"/>
        </w:rPr>
        <w:t>™ reactor, a portable modular low pressure coolant reactor, which we are currently in the process of selling as described below.</w:t>
      </w:r>
    </w:p>
    <w:p>
      <w:pPr>
        <w:spacing w:after="0" w:line="18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January 2025 Acquisition of KRONOS and LOKI Assets</w:t>
      </w:r>
    </w:p>
    <w:p>
      <w:pPr>
        <w:spacing w:after="0" w:line="227" w:lineRule="exact"/>
        <w:rPr>
          <w:rFonts w:ascii="Times New Roman" w:cs="Times New Roman" w:eastAsia="Times New Roman" w:hAnsi="Times New Roman"/>
          <w:sz w:val="18"/>
          <w:szCs w:val="18"/>
          <w:color w:val="auto"/>
        </w:rPr>
      </w:pPr>
    </w:p>
    <w:p>
      <w:pPr>
        <w:jc w:val="both"/>
        <w:ind w:left="64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On December 18, 2024, the United States Bankruptcy Court for the District of Delaware (“Bankruptcy Court”) overseeing the bankruptcy of Ultra Safe Nuclear Corporation and its debtor subsidiaries (together, “USNC”) approved the sale by USNC to our company of certain assets related to the KRONOS MMR™ Energy System and the LOKI MMR™ Energy System (the “USNC Assets”), which approval included our right to purchase the Consent Assets (as defined below) and our assigned right to purchase the Consent Assets. We do not believe that USNC’s bankruptcy was attributable to any broader challenges facing participants in the advanced nuclear technology industry, including our company.</w:t>
      </w:r>
    </w:p>
    <w:p>
      <w:pPr>
        <w:sectPr>
          <w:pgSz w:w="11900" w:h="16934" w:orient="portrait"/>
          <w:cols w:equalWidth="0" w:num="1">
            <w:col w:w="10940"/>
          </w:cols>
          <w:pgMar w:left="480" w:top="914" w:right="479" w:bottom="0" w:gutter="0" w:footer="0" w:header="0"/>
        </w:sectPr>
      </w:pPr>
    </w:p>
    <w:bookmarkStart w:id="42" w:name="page43"/>
    <w:bookmarkEnd w:id="4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Rather, we believe that USNC’s bankruptcy arose primarily from issues related specifically to USNC and its business, notably the termination of USNC’s primary source of funding, which led to liquidity shortfall and the rapid accrual of outstanding obligations, resulting ultimately in the commencement of bankruptcy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-424815</wp:posOffset>
            </wp:positionV>
            <wp:extent cx="7136130" cy="4622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6130" cy="4622800"/>
                    </a:xfrm>
                    <a:prstGeom prst="rect">
                      <a:avLst/>
                    </a:prstGeom>
                    <a:noFill/>
                  </pic:spPr>
                </pic:pic>
              </a:graphicData>
            </a:graphic>
          </wp:anchor>
        </w:drawing>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January 10, 2025, we closed our acquisition of the USNC Assets (but excluding the Consent Assets as described below) from USNC (“USNC Closing”). All other components of the USNC Assets, other than the Consent Assets, were acquired by us on January 10, 2025. We acquired the USNC Assets free and clear of any liens other than certain specified liabilities of USNC that were assumed, for a total purchase price of $8.5 million in cash through an auction conducted pursuant to Section 363 of the U.S. Bankruptcy Code in connection with USNC’s pending Chapter 11 bankruptcy proceedings. We consider this purchase price to be advantageous for us as we believe based on publicly available information that USNC raised over $120 million for the development of the KRONOS MMR™ Energy System and that a major data center operator had conducted due diligence on the project while it was being developed by USNC.</w:t>
      </w:r>
    </w:p>
    <w:p>
      <w:pPr>
        <w:spacing w:after="0" w:line="18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USNC Assets included (i) five contracts with third-party collaborators, (ii) 38 issued, pending or published patents, 16 registered, pending or published trademarks, and any other technology and intellectual property related to the acquired assets, (iii) rights related to a demonstration project related to the KRONOS MMR™ Energy System in the United States, (iv) the business records of the USNC Assets and</w:t>
      </w:r>
    </w:p>
    <w:p>
      <w:pPr>
        <w:spacing w:after="0" w:line="1" w:lineRule="exact"/>
        <w:rPr>
          <w:sz w:val="20"/>
          <w:szCs w:val="20"/>
          <w:color w:val="auto"/>
        </w:rPr>
      </w:pPr>
    </w:p>
    <w:p>
      <w:pPr>
        <w:jc w:val="both"/>
        <w:ind w:right="20"/>
        <w:spacing w:after="0" w:line="185" w:lineRule="auto"/>
        <w:rPr>
          <w:sz w:val="20"/>
          <w:szCs w:val="20"/>
          <w:color w:val="auto"/>
        </w:rPr>
      </w:pPr>
      <w:r>
        <w:rPr>
          <w:rFonts w:ascii="Times New Roman" w:cs="Times New Roman" w:eastAsia="Times New Roman" w:hAnsi="Times New Roman"/>
          <w:sz w:val="18"/>
          <w:szCs w:val="18"/>
          <w:color w:val="auto"/>
        </w:rPr>
        <w:t>related rights, and (v) certain Canadian assets relating to both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and certain Canadian intellectual property rights relating to the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“Canadian Assets”). The Canadian Assets included, among other assets, the right to receive:</w:t>
      </w:r>
    </w:p>
    <w:p>
      <w:pPr>
        <w:jc w:val="both"/>
        <w:ind w:firstLine="3"/>
        <w:spacing w:after="0" w:line="243" w:lineRule="auto"/>
        <w:tabs>
          <w:tab w:leader="none" w:pos="2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contracts with Canadian authorities relating to the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 demonstration project at Chalk River Laboratories located in Ontario, Canada (the “Chalk River Project”), (ii) the equity interests of a Canadian partnership (the “Canadian Partnership”) that was believed at the time to hold a license application (the “Chalk River License Application”) with the Canadian Nuclear Safety Commission (“CNSC”) associated with the Chalk River Project, and (iii) rights related to the Chalk River Project held by the Canadian Partnership (collectively, the “Consent Assets”), subject to the receipt of the consent of certain Canadian governmental entities, including the CNSC (the “Canadian Consents”). The Consent Assets were, however, excluded from the USNC Closing due to the requirement of Canadian Consents and, accordingly, were retained by USNC subject to receipt of the Canadian Consents. We established an escrow of $250,000 deposited with Western Alliance Bank at the closing securing the Canadian Consents, and said escrow amount was funded at the closing of the USNC Assets. If the Canadian Consents were not received within 90 days after the closing, we had the right to terminate the acquisition of the Consent Assets and receive the return of $250,000 held in escrow and forfeit our rights to the Consent Assets. Our right to acquire the Consent Assets was assigned to the Yu Entities as described below, but subject to our option arrangement with the Yu Entities as described below. In mid-December 2025, given our subsequent acquisition of Chalk River License Application directly through our acquisition of GFPL, we believe the Consent Assets were not material and given that the Canadian Consents were not obtained as contemplated by our agreement with USNC, each as described further below, we formally requested a return of the $250,000 escrow amount and abandoned our right to acquire the Consent Assets as they are not necessary for our business plan.</w:t>
      </w:r>
    </w:p>
    <w:p>
      <w:pPr>
        <w:spacing w:after="0" w:line="200" w:lineRule="exact"/>
        <w:rPr>
          <w:sz w:val="20"/>
          <w:szCs w:val="20"/>
          <w:color w:val="auto"/>
        </w:rPr>
      </w:pPr>
    </w:p>
    <w:p>
      <w:pPr>
        <w:spacing w:after="0" w:line="2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1120" w:top="121" w:right="479" w:bottom="1440" w:gutter="0" w:footer="0" w:header="0"/>
        </w:sectPr>
      </w:pPr>
    </w:p>
    <w:bookmarkStart w:id="43" w:name="page44"/>
    <w:bookmarkEnd w:id="43"/>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459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6130" cy="9459595"/>
                    </a:xfrm>
                    <a:prstGeom prst="rect">
                      <a:avLst/>
                    </a:prstGeom>
                    <a:noFill/>
                  </pic:spPr>
                </pic:pic>
              </a:graphicData>
            </a:graphic>
          </wp:anchor>
        </w:drawing>
        <w:t>We were first made aware of the bankruptcy sale opportunity for the USNC Assets a few weeks before the bankruptcy auction was scheduled to take place. As such, the process of bidding for and documenting the purchase was very expedited and provided us with only a limited ability to conduct full due diligence on the USNC Assets, particularly the Canadian Assets. For example, the expedited timing afforded us no opportunity to speak with the CNSC in advance of the USNC Closing in January 2025. Moreover, we were made aware at that time that certain Consent Assets (specifically the Canadian Partnership, which was believed at the time to hold the Chalk River License Application) could potentially be encumbered by liabilities that could not be cleared through USNC’s U.S. bankruptcy process, thus creating a risk to us should we assume such liabilities. To enable our ability to continue diligence of the Consent Assets to ensure we acquired the correct assets and did not assume or become exposed to any unknown liabilities, on the closing date of the USNC Asset acquisition, we assigned our rights to acquire the Consent Assets to Jay Jiang Yu, our founder, President, Secretary and Treasurer, and Chairman of the Board, and certain existing Canadian entities owned or controlled by Mr. Yu (the “Yu Entities”). Accordingly, on January 10, 2025, we entered into an option agreement (“Yu Option Agreement”) with Mr. Yu and Yu Entities, pursuant to which we received an option back from Mr. Yu and the Yu Entities to acquire for nominal consideration, for a period of five years beginning with the receipt by the Yu Entities of the Consent Assets upon receiving the Canadian Consents, any or all of the equity interests of the Yu Entities or the Canadian Partnership, the other Consent Assets or the material assets and business of the Canadian Partnership. The assignment of the right to acquire the Consent Assets and the Yu Option Agreement were unanimously approved by our disinterested directors. Given the uncertainties regarding the Consent Assets at that time, we believe this option arrangement was the most efficient and cost-effective structure (particularly since the option was exercisable by us for only nominal consideration) for us to close the bankruptcy sale and secure the right to acquire the Consent Assets, subject to obtaining the Canadian Consents, while allowing us to continue our diligence to confirm that there were no significant undisclosed liabilities with respect to the Consent Assets and also preserving our ability to progress the KRONOS project in Canada and facilitate the Canadian Consents.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GFPL and 2025 Progress with Chalk River Project</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months following the USNC Closing, we sought the Canadian Consents for the Consent Assets (most notably, the Canadian Partnership’s rights to the Chalk River License Application), including through initial and subsequent communications with the CNSC. As part of our continuing due diligence, we learned that a USNC subsidiary and debtor in USNC’s bankruptcy case called Global First Power Ltd. (“GFPL”), and not the Canadian Partnership, was in fact the holder of the Chalk River License Application. Further, we were informed by the CNSC that the Chalk River License Application could not be transferred and that only GFPL itself could complete the Chalk River License Application and obtain the license for the Chalk River Project or, alternatively, we or our subsidiaries or designees would need to file a new application with the CNSC. Accordingly, we determined that the most efficient course of action for our company to continue the Chalk River Project would be for us to acquire the equity interests of GFPL itself and thereby acquire the Chalk River License Application. As a result, on August 14, 2025, The RPWI Liquidating Trust, a Delaware liquidating trust created pursuant to USNC’s plan of liquidation in bankruptcy, GFPL, our company and our subsidiary Kronos MMR Inc. entered into a Purchase Agreement (the “GFPL Purchase Agreement”) pursuant to which Kronos MMR agreed to purchase all of the equity interests of GFPL and any other assets of GFPL that are specified in the GFPL Purchase Agreement (including the rights to the Chalk River License Application), free and clear of all liens, claims, encumbrances and other interests. The purchase price for GFPL was our assumption of an approximately $0.65 million liability, which was the amount owed by GFPL to the CNSC for pre-petition bankruptcy claims, plus any other amounts payable to CNSC for the Chalk River License Application which first arise and relate to, or become due and payable in the ordinary course after the closing of such acquisition, plus a $15,000 expense reimbursement allowance. On September 2, 2025, the GFPL Purchase Agreement and the transactions contemplated thereby were approved by the Bankruptcy Court, and on October 16, 2025, such transaction was closed. Upon closing of the GFPL transaction, GFPL became our wholly owned subsidiary and thus (based on our discussions with CNSC) we have the right to proceed with the Chalk River License Application through GFPL. As of the date of this prospectus, the Chalk River License Application is still pending approval of the CNSC. We expect to pay the $0.65 million assumed liability using cash on hand when required as the regulatory process continues. As of the date of this prospectus, we are not aware of any other parties that claim to have ownership of the Chalk River License Application or any other assets we purchased from USNC. Moreover, all assets that we acquired from USNC were acquired in a bankruptcy court approved process, free and clear of any liabilities, liens or encumbrances (other than those expressly assumed as previously disclosed), which provides us with significant assurances of our ownership of the Chalk River License Application and related assets.</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a result of the foregoing, neither the Yu Entities nor our company acquired the Consent Assets, and given our subsequent due diligence and consultations with CNSC during 2025 following our acquisition of the USNC Assets, we have determined that (i) our acquisition of GFPL provides us with all of the rights and assets we require from USNC to progress the Chalk River Project, (ii) the Consent Assets subject to the Yu Option Agreement are immaterial to our plans and need not be acquired, with the result that the Yu Option has never been exercised, and we will not exercise the Yu Option. Accordingly, on March 5, 2026, the Yu Option Agreement was terminated. Moreover, given that the Canadian Consents were not achieved on a timely basis, in mid-December 2025, we made a written request for the return of the $250,000 escrow amount and abandoned our right to acquire the Consent Assets as they are not necessary for our business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late October 2025, we announced our rebranding of GFPL to the name True North Nuclear.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KRONOS MMR</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Reactor and Key Collaboration with The University of Illinois</w:t>
      </w:r>
    </w:p>
    <w:p>
      <w:pPr>
        <w:spacing w:after="0" w:line="141"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8"/>
          <w:szCs w:val="18"/>
          <w:color w:val="auto"/>
        </w:rPr>
        <w:t>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is our lead reactor development project, and we are currently prioritizing this project over our other microreactors in development. It is a stationary reactor design that targets new markets beyond those targeted by our smaller microreactors, which are designed for more remote locations, such as island and remote communities, remote industry such as mining projects or oil and gas.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will also target larger population centers, larger industrial operations, industrial heat for larger industries, and</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data and artificial intelligence centers for the tech industry.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design incorporates negative reactivity feedback, passive heat removal, passive shutdown characteristics, and uses helium — an inert gas — along with TRISO fuel. These features allow the reactor to safely dissipate heat without operator intervention or external power.</w:t>
      </w:r>
    </w:p>
    <w:p>
      <w:pPr>
        <w:spacing w:after="0" w:line="200" w:lineRule="exact"/>
        <w:rPr>
          <w:sz w:val="20"/>
          <w:szCs w:val="20"/>
          <w:color w:val="auto"/>
        </w:rPr>
      </w:pPr>
    </w:p>
    <w:p>
      <w:pPr>
        <w:spacing w:after="0" w:line="2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00"/>
          </w:cols>
          <w:pgMar w:left="1120" w:top="918" w:right="479" w:bottom="272"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On March 29, 2025, we executed a Sponsored Research Agreement Amendment No. 2 with The Board of Trustees of the University of Illinois (referred to for these purposes as “U of I”) that substituted our company as an assignee of the rights and obligations of USNC regarding the sponsored research relationship with The University of Illinois Urbana-Champaign (“UIUC”) for the KRONOS MMR™ project. Under the Sponsored Research Agreement and its amendments (the “UIUC Agreement”), our company, in collaboration with U of I, will construct, obtain regulatory approval for, and deploy a KRONOS MMR™ research and test reactor on the UIUC campus. The UIUC Agreement as entered into with U of I is effective January 1, 2022, and will terminate on February 28, 2027, unless terminated earlier, for convenience by either party by providing 30 days’ advance written notice, for material breach by either party that is uncured within 30 days after providing notice, or immediately upon notice, if (i) the parties cannot agree on an acceptable successor U of I principal investigator for the project (if either of the current U of I principal investigators become unable to perform), (ii) we are declared insolvent, cease (or threaten to cease) to carry on our business, or an administrator or receiver has been appointed over all or part of our assets; (iii) we fail to pay promptly research costs to U of I under a budget not to exceed approximately $3.4 million; or (iv) either party is debarred or excluded from participating in any government program. Under the UIUC Agreement, each party owns the inventions it develops alone, and any inventions developed together are jointly owned. At our request and expense, U of I will file patent applications in the United States and foreign countries for any U of I or joint inventions. With U of I approval, we may control patent application filing, prosecution, and maintenance. We have also received a non-exclusive, non-transferable royalty-free license to practice each U of I invention for commercial purposes within the field of nuclear energy. In mid-April 2025, we launched a recruitment initiative focused on the Midwest region to support our plans to construct, demonstrate and gain regulatory approval for full-scale KRONOS MMR™ Energy System in both the United States and Canada.</w:t>
      </w:r>
    </w:p>
    <w:p>
      <w:pPr>
        <w:spacing w:after="0" w:line="19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late April 2025, the U.S. Nuclear Regulatory Commission (“NRC”) issued its final Safety Evaluation (SE) approving the Fuel Qualification Methodology Topical Report (FQM TR) for the advanced fuel design to be used in the KRONOS MMR™ Energy System. The FQM TR is a technical document that defines the analytical framework and testing approach by which irradiation data and fuel performance information</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will be evaluated to demonstrate that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fuel meets NRC safety and reliability requirements. Approval of the FQM TR does not in itself authorize construction or operation of the KRONOS MMR™ reactor; rather, it represents NRC approval of the methodology that will be used to qualify the fuel in subsequent testing and licensing steps. Our regulatory activities to date have been conducted within the NRC’s pre-application framework, which has included multiple technical submittals, meetings, and NRC staff feedback towards our technical submittals documented on the NRC’s public pre-application docket for UIUC. Our next steps toward submission of a construction permit application for the KRONOS MMR™ reactor consist of several regulatory and technical workstreams that are being conducted in parallel rather than sequentially. These activities include continued NRC pre-application engagement and technical interactions, completion of site characterization activities and development of site-specific inputs (including collecting and preparing location-specific technical, environmental, and engineering information to support regulatory filings and design work for a particular site), preparation of the environmental report required to support a construction permit application, preparation of preliminary safety analyses and application documentation, and initiation and ongoing execution of the NRC-approved fuel qualification program in accordance with its approved scope and phased development plan. With respect to site-specific work, we engaged AECOM, a multi-disciplinary engineering firm, in June 2025 to support site characterization, engineering, environmental analysis, and regulatory planning activities associated with the proposed reactor site at UIUC. The agreement with AECOM has a term of three (3) years, which will be automatically renewed on an annual basis. These activities include site drilling and collection of geological and environmental data required to support a construction permit application. We currently expect to complete the principal site-specific data collection and analyses necessary for an NRC construction application submittal in early 2026. In parallel, we are preparing the environmental report and preliminary safety analysis materials, which are expected to be completed in early 2026 and are required for a construction permit application for a KRONOS MMR™ research reactor. While the environmental report and safety analysis must be submitted with the application, the NRC’s detailed safety and environmental reviews occur after the application is docketed and may involve requests for additional information, audits, hearings, and public participation as part of the NRC’s review process. Following NRC approval of the FQM TR, we have initiated the fuel qualification program using the NRC-approved methodology. Fuel qualification is a staged and iterative process that includes defining test plans, generating and evaluating fuel performance data, and documenting results. We expect to provide sufficient fuel-related information to support submission of a construction permit application based on the approved methodology, while continuing fuel qualification activities during NRC review and in later licensing stages. However, although fuel qualification is important to our business operations, completion of all fuel qualification activities is not required as a condition for the approval or docketing of a construction permit application. Based on the foregoing parallel workstreams, we currently anticipate submitting a construction permit application for the KRONOS MMR™ reactor in the first half of 2026 and receiving the approval in the middle of 2027, subject to the NRC’s review process. Following submission, the NRC will conduct an acceptance review to determine whether the application is sufficiently complete to docket. NRC guidance indicates that this acceptability determination is generally expected to occur within approximately 60 days; however, timing may vary. After docketing, the duration of the NRC’s safety and environmental reviews is not fixed and is not typically completed within a single year. There can be no assurance as to the timing of completion of such reviews. The duration of the NRC’s review process may vary materially based on numerous factors, including, among other things, the completeness and quality of the application at submission, the number and complexity of NRC requests for additional information, the extent to which the application relies on previously reviewed topical reports, NRC staffing and resource availability, the scope and outcome of any required hearings, and the type and complexity of the environmental review, including whether an environmental impact statement is required. Accordingly, the timing of NRC review and any resulting licensing decisions is inherently uncertain and largely outside the Company’s control and any delays in the review process could materially and adversely affect the Company’s business, financial condition, and results of operations.</w:t>
      </w:r>
    </w:p>
    <w:p>
      <w:pPr>
        <w:spacing w:after="0" w:line="2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KRONOS MMR™ reactor at UIUC is being developed as a research microreactor intended primarily for demonstration, testing, and research applications, but the reactor will be a full-scale system analogous to the commercial KRONOS MMR™ reactor we are planning to sell and deploy post receipt of a construction permit issued by the NRC, followed by an operating license. The UIUC project will also serve as the reactor which the NRC will be evaluating as part of its licensing process for the entire system. Subject to the NRC review timeline, completion of required safety and environmental reviews, construction activities, and successful commissioning, we expect the KRONOS MMR™ to achieve initial operation or research availability around 2030 to 2031. The KRONOS MMR™ reactor is not expected to be a near-term commercial power product and is intended to support technology demonstration, fuel qualification, and design validation activities applicable to our broader reactor portfolio.</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diversity of our products in development positions us to capitalize on growing financial investment and societal momentum driving advanced nuclear energy technologies on a global scale across multiple different areas. We will leverage our world-class technical team to analyze and optimize these technologies, key components, and intellectual property, before integrating them into its</w:t>
      </w:r>
    </w:p>
    <w:p>
      <w:pPr>
        <w:sectPr>
          <w:pgSz w:w="11900" w:h="16838" w:orient="portrait"/>
          <w:cols w:equalWidth="0" w:num="1">
            <w:col w:w="10300"/>
          </w:cols>
          <w:pgMar w:left="1120" w:top="918" w:right="479" w:bottom="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operational frameworks and ongoing innovative efforts. We also intend to build upon and strengthen the extensive industry relationships that USNC established during its operations, including those with UIUC and the Canadian Government to build prototype reactors.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-273685</wp:posOffset>
            </wp:positionV>
            <wp:extent cx="7136130" cy="748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6130" cy="748030"/>
                    </a:xfrm>
                    <a:prstGeom prst="rect">
                      <a:avLst/>
                    </a:prstGeom>
                    <a:noFill/>
                  </pic:spPr>
                </pic:pic>
              </a:graphicData>
            </a:graphic>
          </wp:anchor>
        </w:drawing>
      </w:r>
    </w:p>
    <w:p>
      <w:pPr>
        <w:spacing w:after="0" w:line="209" w:lineRule="auto"/>
        <w:rPr>
          <w:sz w:val="20"/>
          <w:szCs w:val="20"/>
          <w:color w:val="auto"/>
        </w:rPr>
      </w:pPr>
      <w:r>
        <w:rPr>
          <w:rFonts w:ascii="Times New Roman" w:cs="Times New Roman" w:eastAsia="Times New Roman" w:hAnsi="Times New Roman"/>
          <w:sz w:val="18"/>
          <w:szCs w:val="18"/>
          <w:color w:val="auto"/>
        </w:rPr>
        <w:t>operational in the future, our plan is to be able to sell a majority of the energy produced at the UIUC using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with UIUC retaining a portion for its own use.</w:t>
      </w:r>
    </w:p>
    <w:p>
      <w:pPr>
        <w:spacing w:after="0" w:line="200" w:lineRule="exact"/>
        <w:rPr>
          <w:sz w:val="20"/>
          <w:szCs w:val="20"/>
          <w:color w:val="auto"/>
        </w:rPr>
      </w:pP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1120" w:top="121"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464185</wp:posOffset>
            </wp:positionV>
            <wp:extent cx="7136130" cy="10140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6130" cy="10140315"/>
                    </a:xfrm>
                    <a:prstGeom prst="rect">
                      <a:avLst/>
                    </a:prstGeom>
                    <a:noFill/>
                  </pic:spPr>
                </pic:pic>
              </a:graphicData>
            </a:graphic>
          </wp:anchor>
        </w:drawing>
        <w:t>Our Other Microreactor Projects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LOKI MMR™ is designed as a high-temperature, gas-cooled reactor utilizing TRISO fuel and a closed Brayton-cycle power conversion system, with electrical output scalable from approximately 300 kWe to 1 MWe for terrestrial applications and scalable configurations suitable</w:t>
      </w:r>
    </w:p>
    <w:p>
      <w:pPr>
        <w:jc w:val="both"/>
        <w:ind w:right="20"/>
        <w:spacing w:after="0" w:line="214" w:lineRule="auto"/>
        <w:rPr>
          <w:sz w:val="20"/>
          <w:szCs w:val="20"/>
          <w:color w:val="auto"/>
        </w:rPr>
      </w:pPr>
      <w:r>
        <w:rPr>
          <w:rFonts w:ascii="Times New Roman" w:cs="Times New Roman" w:eastAsia="Times New Roman" w:hAnsi="Times New Roman"/>
          <w:sz w:val="18"/>
          <w:szCs w:val="18"/>
          <w:color w:val="auto"/>
        </w:rPr>
        <w:t>for space missions. Our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directly benefits from the advancement and development of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as both share similar technological features. Accordingly, the development timeline of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is expected to be analogous to that of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portable LOKI MMR™ reactor will target multiple applications, including remote locations unsuitable for larger reactor systems, such as islands; remote industrial operations, such as mining and oil and gas projects; and extra-terrestrial applications that require consistent power. The commercial deployment of the LOKI MMR™ reactor is expected to depend primarily on demonstrated market demand and customer interest, which may incentivize us to invest in the construction of a prototype or demonstration reactor and to initiate the licensing process with the NRC. As of the date of this prospectus, we are still in the process of assessing and developing demonstration, licensing and commercial launch timelines for this reactor. Our current development plan for LOKI MMR™ includes continued design refinement, component and subsystem testing, and non-nuclear demonstration activities, followed by a potential ground-based demonstration. Based on current planning assumptions and subject to funding availability, regulatory review and/or approval process, technical progress and other relevant factors, we are targeting initial non-nuclear and component-level testing activities in the late 2020s, with the objective of achieving a ground demonstration as early as 2030 or 2031. We derived this timeline using a critical-path planning approach, starting from known near-term licensing and project preparation milestones and then sequencing downstream workstreams that must occur prior to component-level testing and a ground demonstration.</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particular, our current planning includes submission of a Construction Permit Application (“CPA”) to the NRC in the first half of 2026 for the UIUC reactor construction project. From that milestone, we then incorporated estimated durations for:</w:t>
      </w:r>
    </w:p>
    <w:p>
      <w:pPr>
        <w:spacing w:after="0" w:line="189" w:lineRule="exact"/>
        <w:rPr>
          <w:sz w:val="20"/>
          <w:szCs w:val="20"/>
          <w:color w:val="auto"/>
        </w:rPr>
      </w:pPr>
    </w:p>
    <w:p>
      <w:pPr>
        <w:ind w:left="440" w:hanging="437"/>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NRC acceptance and review processes (including requests for additional information and iterative engagement);</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detailed design and safety analysis sufficient to support procurement and construction;</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and fabrication lead times for specialized components and systems;</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non-nuclear test readiness (including component test campaigns, quality program readiness, and test facility integration); and</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integration, and commissioning preparation steps needed prior to a ground demonstration.</w:t>
      </w:r>
    </w:p>
    <w:p>
      <w:pPr>
        <w:spacing w:after="0" w:line="2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“late 2020s” and “2030 or 2031” targets described above represent our management’s current estimate of achievable timing if critical path items proceed as planned, but are not intended as a guarantee of completion by those dates. These timelines remain under our review and are dependent on external programmatic decisions. The LOKI MMR™ reactor is not currently expected to be a near-term commercial power product for civilian grid applications. Rather, we view LOKI MMR™ as a specialized system intended for government, defense, space, and remote deployment use cases, with commercialization dependent on successful demonstration, mission-specific regulatory approvals, and customer sponsorship. Any future commercial deployment of the LOKI MMR™ platform would occur only after completion of required testing, demonstration, and regulatory authorization processes, the timing of which remains uncertain and largely outside the Company’s control. We expect to commercially launch the LOKI MMR™ reactor in the 2030s.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ZEUS™ and ODIN™ microreactors have moved from the design stages to physical test work stages, with materials testing, irradiation testing, and initial rig construction currently underway, to ensure the accuracy of our modelled reactors and to optimize the dimensions and composition of the systems. We have conducted and completed external design audits on the ZEUS™ and ODIN™ reactor designs to provide external validation for our designs. The design audits for those reactors were conducted and completed by the Idaho National Laboratory (“INL”). Currently, we are actively engaged in the engineering development and design optimization of the ZEUS™ reactor, while undergoing a proposed sale process for ODIN™ technology. The ZEUS™ reactor is being developed as a transportable, solid-core microreactor intended for remote, off-grid, and defense-related applications. We are evaluating the most effective means of tailoring our technology to address specific key markets, particularly military and remote applications that require smaller power outputs, for which we believe the ZEUS™ reactor is suited to supply. Upon the conclusion of these evaluations, we plan to accelerate our development of the ZEUS™ technology, including expanding rig test work and collaborating with identified end users to advance a demonstration reactor for licensing. We have had informal meetings with the NRC, informing them of the status of our ZEUS™ microreactor design and the estimated internal timelines for our microreactor developments, with an understanding that definite timelines will be provided once available, to allow the NRC to arrange the necessary personnel to oversee the microreactor licensing process. We increased the size of the technical teams during 2024 and 2025 to expedite the development of the reactor systems, as well as recruiting former NRC personnel to oversee our regulatory licensing processes, and to engage directly with the NRC to facilitate the commercialization planning. In March 2025, we announced that we had assembled the first reactor core hardware of our ZEUS™ microreactor for initial non-nuclear testing. We believe there is potential for our ZEUS™ microreactor to be commercially launched in the 2030s. However, the actual commercialization timing will depend on regulatory requirements applicable to the specific deployment environment, customer site characteristics, and applicable federal, state, or international approvals.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Sale of ODIN™ Reactor Project</w:t>
      </w:r>
    </w:p>
    <w:p>
      <w:pPr>
        <w:spacing w:after="0" w:line="23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Notwithstanding the progress made with ODIN™ technology to date, given our corporate emphasis on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as our lead project, and the fact that all of our reactor designs, except for the ODIN™ reactor, are within the high-temperature gas-cooled reactor family, we are considering strategic alternatives for ODIN. In September 2025, we signed a letter of intent for the proposed sale of our ODIN™ microreactor design and all associated intellectual property to Cambridge Atom Works, a United Kingdom based advanced reactor developer who is already developing the ODIN™ technology for us on an outsourced consulting basis. This letter of intent called for a total purchase price of $6.2 million, with a $250,000 upfront non-refundable down payment to us and a $5.95 million payment in 2026 as well as future low single-digit royalties payable to us based on net sales if and when ODIN™ technology is commercialized. As of the date of this</w:t>
      </w:r>
    </w:p>
    <w:p>
      <w:pPr>
        <w:sectPr>
          <w:pgSz w:w="11900" w:h="16838" w:orient="portrait"/>
          <w:cols w:equalWidth="0" w:num="1">
            <w:col w:w="10300"/>
          </w:cols>
          <w:pgMar w:left="1120" w:top="970" w:right="479" w:bottom="0" w:gutter="0" w:footer="0" w:header="0"/>
        </w:sectPr>
      </w:pPr>
    </w:p>
    <w:bookmarkStart w:id="47" w:name="page48"/>
    <w:bookmarkEnd w:id="47"/>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prospectus, the transaction remains subject to execution of definitive documentation and the satisfaction of customary closing conditions. This sale is intended to monetize our investment in the project to date and enable us to allocate more time and resources to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and our other designs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-434975</wp:posOffset>
            </wp:positionV>
            <wp:extent cx="7136130" cy="18453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6130" cy="184531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Developments Regarding Our Microreactors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August 2024, we purchased a 14,000 sq. ft., 2-story building in Oak Ridge, Tennessee for $1.7 million to house our Nuclear technology branch (“Nuclear Technology Branch”). Michael Norato, Ph.D., an INL and Department of Energy (“DOE”) veteran, was appointed as our Director of Nuclear Facilities and Infrastructure in December 2024. Dr. Norato will oversee the construction, development and licensing of our key facilities, including our 14,000 sq. ft. Oak Ridge, Tennessee Nuclear Technology Branch, as well as our future test bed reactor sites for experiments related to our ZEUS™ microreactor currently in development. He will also lead the establishment of deconversion and fuel processing facilities, helping to further our goal of being a vertically integrated leader in the U.S. nuclear fuel cycle.</w:t>
      </w:r>
    </w:p>
    <w:p>
      <w:pPr>
        <w:spacing w:after="0" w:line="200" w:lineRule="exact"/>
        <w:rPr>
          <w:sz w:val="20"/>
          <w:szCs w:val="20"/>
          <w:color w:val="auto"/>
        </w:rPr>
      </w:pP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1120" w:top="121" w:right="479" w:bottom="1440" w:gutter="0" w:footer="0" w:header="0"/>
        </w:sectPr>
      </w:pPr>
    </w:p>
    <w:bookmarkStart w:id="48" w:name="page49"/>
    <w:bookmarkEnd w:id="48"/>
    <w:p>
      <w:pPr>
        <w:jc w:val="both"/>
        <w:ind w:left="321"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In January 2025, we entered into a lease for a facility in Westchester County, New York where we have established a purpose-built facility to assemble and demonstrate the operation and viability of several non-nuclear parts and components of our nuclear microreactors in development. In February 2025, we engaged aRobotics Company, a leading innovator in robotics fabrication, inspection, engineering and testing, to oversee the multimillion dollar build out of this facility. aRobotics has also assisted us with the fabrication of key components for the facility. We committed approximately $3 million to retrofit this facility. In May 2025, we announced the completion of our retrofit of our demonstration facility and the commencement of operations there. Our demonstration facility is currently supporting ongoing work on our SBIR Phase III project for our Annular Linear Induction Pump (ALIP) technology, which has been assembled onto a test loop and integrated to a controllable test setup for variable design validation at the facility. ALIP technology is expected to be completed, through the successful completion of SBIR Phase III project, to effectively launch the ALIP in 2026. We expect to complete the physical demonstration work for ALIP in 2026, however, the timeline to commercialization is dependent on market demand and the successful completion of SBIR Phase III project. The market demand will to some extent dictate our production numbers of the pump system and the resources we allocate to the system to support the manufacturing demand.</w:t>
      </w:r>
    </w:p>
    <w:p>
      <w:pPr>
        <w:spacing w:after="0" w:line="190" w:lineRule="exact"/>
        <w:rPr>
          <w:sz w:val="20"/>
          <w:szCs w:val="20"/>
          <w:color w:val="auto"/>
        </w:rPr>
      </w:pPr>
    </w:p>
    <w:p>
      <w:pPr>
        <w:jc w:val="both"/>
        <w:ind w:left="321"/>
        <w:spacing w:after="0" w:line="226" w:lineRule="auto"/>
        <w:rPr>
          <w:sz w:val="20"/>
          <w:szCs w:val="20"/>
          <w:color w:val="auto"/>
        </w:rPr>
      </w:pPr>
      <w:r>
        <w:rPr>
          <w:rFonts w:ascii="Times New Roman" w:cs="Times New Roman" w:eastAsia="Times New Roman" w:hAnsi="Times New Roman"/>
          <w:sz w:val="18"/>
          <w:szCs w:val="18"/>
          <w:color w:val="auto"/>
        </w:rPr>
        <w:t>In July 2025, we announced that we will provide critical engineering and environmental services for our planned construction and deployment activities at the UIUC for our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As part of this initiative, we have engaged AECOM, a global infrastructure leader, under a master services agreement to support site-specific engineering, environmental analysis and regulatory planning at UIUC. The</w:t>
      </w:r>
    </w:p>
    <w:p>
      <w:pPr>
        <w:spacing w:after="0" w:line="3" w:lineRule="exact"/>
        <w:rPr>
          <w:sz w:val="20"/>
          <w:szCs w:val="20"/>
          <w:color w:val="auto"/>
        </w:rPr>
      </w:pPr>
    </w:p>
    <w:p>
      <w:pPr>
        <w:jc w:val="both"/>
        <w:ind w:left="321"/>
        <w:spacing w:after="0" w:line="243" w:lineRule="auto"/>
        <w:rPr>
          <w:sz w:val="20"/>
          <w:szCs w:val="20"/>
          <w:color w:val="auto"/>
        </w:rPr>
      </w:pPr>
      <w:r>
        <w:rPr>
          <w:rFonts w:ascii="Times New Roman" w:cs="Times New Roman" w:eastAsia="Times New Roman" w:hAnsi="Times New Roman"/>
          <w:sz w:val="18"/>
          <w:szCs w:val="18"/>
          <w:color w:val="auto"/>
        </w:rPr>
        <w:t>agreement lays the groundwork for site-specific engineering in preparation for deploying the first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at UIUC, a globally recognized hub for nuclear research and innovation. Planned activities include detailed environmental reviews, regulatory pathway planning, and site drilling to obtain the geological data required for submitting a construction permit application to the NRC. Following completion of the UIUC drilling and site characterization program, we obtained the geotechnical information needed to support our construction permit application to the NRC. We are currently completing the final stages of this application and, based on our current progress and planning assumptions, we estimate that we will submit the application in first half of 2026. If the application is submitted as anticipated, we currently estimate that the NRC’s review and construction permit issuance process could take approximately 12 months, although the actual timing is subject to NRC review, requests for additional information, and other factors outside of our control. If a construction permit is issued, it would allow us to begin construction activities at the UIUC site, which we currently estimate could occur in 2027. Receipt of a construction permit would not, by itself, authorize operation of the reactor, and additional regulatory approvals and project milestones would be required prior to any operational or commercial deployment. However, there can be no assurance that we will be able to meet this anticipated timeline, as the submission is subject to the completion of ongoing technical, regulatory, and operational preparations, which may be affected by factors beyond our control. Notwithstanding the foregoing, this is expected to be the first construction permit for a microreactor issued in the United States. The permit application will not incur any government fees, as the KRONOS™ reactor, due to its location at UIUC, qualifies for a fee exemption under applicable regulations due to its use for research purposes.</w:t>
      </w:r>
    </w:p>
    <w:p>
      <w:pPr>
        <w:spacing w:after="0" w:line="207" w:lineRule="exact"/>
        <w:rPr>
          <w:sz w:val="20"/>
          <w:szCs w:val="20"/>
          <w:color w:val="auto"/>
        </w:rPr>
      </w:pPr>
    </w:p>
    <w:p>
      <w:pPr>
        <w:jc w:val="both"/>
        <w:ind w:left="321" w:right="20"/>
        <w:spacing w:after="0" w:line="261" w:lineRule="auto"/>
        <w:rPr>
          <w:sz w:val="20"/>
          <w:szCs w:val="20"/>
          <w:color w:val="auto"/>
        </w:rPr>
      </w:pPr>
      <w:r>
        <w:rPr>
          <w:rFonts w:ascii="Times New Roman" w:cs="Times New Roman" w:eastAsia="Times New Roman" w:hAnsi="Times New Roman"/>
          <w:sz w:val="18"/>
          <w:szCs w:val="18"/>
          <w:color w:val="auto"/>
        </w:rPr>
        <w:t>In tandem with geological characterization work at the UIUC site that commenced in the fourth quarter of 2025, we launched a recruitment initiative in the second half of 2025 focused on the Midwest region to support our plans to construct, demonstrate and gain regulatory</w:t>
      </w:r>
    </w:p>
    <w:p>
      <w:pPr>
        <w:jc w:val="both"/>
        <w:ind w:left="321" w:right="20"/>
        <w:spacing w:after="0" w:line="227" w:lineRule="auto"/>
        <w:rPr>
          <w:sz w:val="20"/>
          <w:szCs w:val="20"/>
          <w:color w:val="auto"/>
        </w:rPr>
      </w:pPr>
      <w:r>
        <w:rPr>
          <w:rFonts w:ascii="Times New Roman" w:cs="Times New Roman" w:eastAsia="Times New Roman" w:hAnsi="Times New Roman"/>
          <w:sz w:val="18"/>
          <w:szCs w:val="18"/>
          <w:color w:val="auto"/>
        </w:rPr>
        <w:t>approval for full-scale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both the United States and Canada. This workforce build-out will consolidate the expertise and provide the personnel necessary to complete the construction permit application and begin construction of the first KRONOS™ reactor prototype on the UIUC campus shortly thereafter. To support this effort, on July 30, 2025, we announced our acquisition of a 2.75-acre land and building package in Oak Brook, Illinois to serve as a regional demonstration and office facility to support the development of the</w:t>
      </w:r>
    </w:p>
    <w:p>
      <w:pPr>
        <w:spacing w:after="0" w:line="2" w:lineRule="exact"/>
        <w:rPr>
          <w:sz w:val="20"/>
          <w:szCs w:val="20"/>
          <w:color w:val="auto"/>
        </w:rPr>
      </w:pPr>
    </w:p>
    <w:p>
      <w:pPr>
        <w:jc w:val="both"/>
        <w:ind w:left="321"/>
        <w:spacing w:after="0" w:line="242" w:lineRule="auto"/>
        <w:rPr>
          <w:sz w:val="20"/>
          <w:szCs w:val="20"/>
          <w:color w:val="auto"/>
        </w:rPr>
      </w:pPr>
      <w:r>
        <w:rPr>
          <w:rFonts w:ascii="Times New Roman" w:cs="Times New Roman" w:eastAsia="Times New Roman" w:hAnsi="Times New Roman"/>
          <w:sz w:val="18"/>
          <w:szCs w:val="18"/>
          <w:color w:val="auto"/>
        </w:rPr>
        <w:t>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reactor. This facility is intended to support engineering, component manufacturing and assembly, prototype fabrication, non-nuclear testing, research and development activities, and administrative functions. The timing, scale, and configuration of the Illinois facility will depend on multiple factors, including site selection, permitting, availability of skilled labor, supply chain readiness, financing, and alignment with our regulatory and commercialization milestones. We are currently undertaking refurbishment of the facility to enable our staff to occupy the Illinois facility in first half of 2026, in accordance with timelines provided by our contractors. Following the relocation of our staff, we plan to continue a phased buildout of the facility to incorporate additional manufacturing capabilities, aligned with the advancement of our reactor programs. Initial facility capabilities may precede full commercial manufacturing capacity and may focus on research, development, and prototype support, with manufacturing capabilities expanded over time as regulatory approvals such as construction, manufacturing and safety are obtained and commercial demand materializes. There can be no assurance that we will establish the facility on the anticipated timeline, or at all. Delays in regulatory approvals or changes in market conditions, customer demand, or strategic priorities could require us to modify, defer, or abandon the planned facility. Any delay, modification, or failure to establish the facility could materially and adversely affect our business strategy, growth prospects, financial condition, and results of operations.</w:t>
      </w:r>
    </w:p>
    <w:p>
      <w:pPr>
        <w:spacing w:after="0" w:line="198" w:lineRule="exact"/>
        <w:rPr>
          <w:sz w:val="20"/>
          <w:szCs w:val="20"/>
          <w:color w:val="auto"/>
        </w:rPr>
      </w:pPr>
    </w:p>
    <w:p>
      <w:pPr>
        <w:jc w:val="both"/>
        <w:ind w:left="321" w:right="20"/>
        <w:spacing w:after="0" w:line="238" w:lineRule="auto"/>
        <w:rPr>
          <w:sz w:val="20"/>
          <w:szCs w:val="20"/>
          <w:color w:val="auto"/>
        </w:rPr>
      </w:pPr>
      <w:r>
        <w:rPr>
          <w:rFonts w:ascii="Times New Roman" w:cs="Times New Roman" w:eastAsia="Times New Roman" w:hAnsi="Times New Roman"/>
          <w:sz w:val="18"/>
          <w:szCs w:val="18"/>
          <w:color w:val="auto"/>
        </w:rPr>
        <w:t>In September 2025, we announced that we signed a 10-year Cooperative Research and Development Agreement (“CRADA”) with the INL. With this agreement, we plan to accelerate our advanced microreactor programs, including the stationary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portable LOKI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systems.</w:t>
      </w:r>
    </w:p>
    <w:p>
      <w:pPr>
        <w:spacing w:after="0" w:line="78" w:lineRule="exact"/>
        <w:rPr>
          <w:sz w:val="20"/>
          <w:szCs w:val="20"/>
          <w:color w:val="auto"/>
        </w:rPr>
      </w:pPr>
    </w:p>
    <w:p>
      <w:pPr>
        <w:jc w:val="both"/>
        <w:ind w:left="321" w:right="20"/>
        <w:spacing w:after="0" w:line="258" w:lineRule="auto"/>
        <w:rPr>
          <w:sz w:val="20"/>
          <w:szCs w:val="20"/>
          <w:color w:val="auto"/>
        </w:rPr>
      </w:pPr>
      <w:r>
        <w:rPr>
          <w:rFonts w:ascii="Times New Roman" w:cs="Times New Roman" w:eastAsia="Times New Roman" w:hAnsi="Times New Roman"/>
          <w:sz w:val="18"/>
          <w:szCs w:val="18"/>
          <w:color w:val="auto"/>
        </w:rPr>
        <w:t>On October 7, 2025, we announced that, with the support of Governor JB Pritzker and the Illinois Department of Commerce and Economic Opportunity, we will establish a manufacturing and research and development facility in Illinois. We plan to make an investment of more than $12 million with the support from the Reimagining Energy and Vehicles in Illinois (REV Illinois) program, which is expected to enable us to establish our operations and create 50 new full-time jobs in Illinois. For this effort, we will receive $6.8 million in incentive awards from the REV Illinois program.</w:t>
      </w:r>
    </w:p>
    <w:p>
      <w:pPr>
        <w:spacing w:after="0" w:line="183" w:lineRule="exact"/>
        <w:rPr>
          <w:sz w:val="20"/>
          <w:szCs w:val="20"/>
          <w:color w:val="auto"/>
        </w:rPr>
      </w:pPr>
    </w:p>
    <w:p>
      <w:pPr>
        <w:jc w:val="both"/>
        <w:ind w:left="321" w:right="20"/>
        <w:spacing w:after="0" w:line="261" w:lineRule="auto"/>
        <w:rPr>
          <w:sz w:val="20"/>
          <w:szCs w:val="20"/>
          <w:color w:val="auto"/>
        </w:rPr>
      </w:pPr>
      <w:r>
        <w:rPr>
          <w:rFonts w:ascii="Times New Roman" w:cs="Times New Roman" w:eastAsia="Times New Roman" w:hAnsi="Times New Roman"/>
          <w:sz w:val="18"/>
          <w:szCs w:val="18"/>
          <w:color w:val="auto"/>
        </w:rPr>
        <w:t>Significant capital will be needed to support our facility construction, licensing, fuel qualification testing, regulatory compliance, prototype construction, and workforce expansion for the development of our microreactors. We estimate that the capital costs needed to construct</w:t>
      </w:r>
    </w:p>
    <w:p>
      <w:pPr>
        <w:jc w:val="both"/>
        <w:ind w:left="321"/>
        <w:spacing w:after="0" w:line="231" w:lineRule="auto"/>
        <w:rPr>
          <w:sz w:val="20"/>
          <w:szCs w:val="20"/>
          <w:color w:val="auto"/>
        </w:rPr>
      </w:pPr>
      <w:r>
        <w:rPr>
          <w:rFonts w:ascii="Times New Roman" w:cs="Times New Roman" w:eastAsia="Times New Roman" w:hAnsi="Times New Roman"/>
          <w:sz w:val="18"/>
          <w:szCs w:val="18"/>
          <w:color w:val="auto"/>
        </w:rPr>
        <w:t>prototype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reactors at the UIUC and Canada over the next several years could be around $300 million to $350 million per reactor. This range reflects inherent uncertainty in building a first-of-a-kind reactor due to several factors that can result in a material increase to these estimates, including site specific factors, the timing and scope of project development and regulatory licensing and supply chain considerations. Subsequent reactors’ capital costs are expected to decline substantially due to supply chain scaling for mass production of components, factory fabrication, modular assembly, and multiple deployments.</w:t>
      </w:r>
    </w:p>
    <w:p>
      <w:pPr>
        <w:spacing w:after="0" w:line="196" w:lineRule="exact"/>
        <w:rPr>
          <w:sz w:val="20"/>
          <w:szCs w:val="20"/>
          <w:color w:val="auto"/>
        </w:rPr>
      </w:pPr>
    </w:p>
    <w:p>
      <w:pPr>
        <w:jc w:val="both"/>
        <w:ind w:left="321" w:right="20" w:hanging="321"/>
        <w:spacing w:after="0" w:line="286" w:lineRule="auto"/>
        <w:tabs>
          <w:tab w:leader="none" w:pos="32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Fuel Processing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subsidiary, HALEU Energy Fuel Inc., and in coordination with the DOE, we are seeking to develop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low-enriched uranium (LEU) and high-assay low-enriched uranium (HALEU) fuel supply chain to supply fuel not only for our own</w:t>
      </w:r>
    </w:p>
    <w:p>
      <w:pPr>
        <w:sectPr>
          <w:pgSz w:w="11900" w:h="16838" w:orient="portrait"/>
          <w:cols w:equalWidth="0" w:num="1">
            <w:col w:w="10621"/>
          </w:cols>
          <w:pgMar w:left="799" w:top="918" w:right="479" w:bottom="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reactors but also to the broader advanced nuclear reactor industry. While we may engage in this activity through our related party LIST as described below, as of the date of this prospectus, we have tentatively identified the site where we might construct the facilities and have begun to build the team to design and develop these facilities. However, while we hope to launch our fuel processing business in the second half of 2026, as of the date of this prospectus, we have not yet commercially launched our fuel processing business. There can be no assurance that we will proceed with the launch as currently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-694055</wp:posOffset>
            </wp:positionV>
            <wp:extent cx="7136130" cy="859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6130" cy="8591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1120" w:top="121" w:right="499" w:bottom="1440" w:gutter="0" w:footer="0" w:header="0"/>
        </w:sectPr>
      </w:pPr>
    </w:p>
    <w:bookmarkStart w:id="50" w:name="page51"/>
    <w:bookmarkEnd w:id="50"/>
    <w:p>
      <w:pPr>
        <w:jc w:val="both"/>
        <w:spacing w:after="0" w:line="217"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464185</wp:posOffset>
            </wp:positionV>
            <wp:extent cx="7136130" cy="5944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6130" cy="5944870"/>
                    </a:xfrm>
                    <a:prstGeom prst="rect">
                      <a:avLst/>
                    </a:prstGeom>
                    <a:noFill/>
                  </pic:spPr>
                </pic:pic>
              </a:graphicData>
            </a:graphic>
          </wp:anchor>
        </w:drawing>
        <w:t>The launch of this business can be established through multiple avenues, which are all currently under examination by management. We may consider investing in existing pilot conversion operations, where U</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O</w:t>
      </w:r>
      <w:r>
        <w:rPr>
          <w:rFonts w:ascii="MS PGothic" w:cs="MS PGothic" w:eastAsia="MS PGothic" w:hAnsi="MS PGothic"/>
          <w:sz w:val="18"/>
          <w:szCs w:val="18"/>
          <w:color w:val="auto"/>
        </w:rPr>
        <w:t>₈</w:t>
      </w:r>
      <w:r>
        <w:rPr>
          <w:rFonts w:ascii="Times New Roman" w:cs="Times New Roman" w:eastAsia="Times New Roman" w:hAnsi="Times New Roman"/>
          <w:sz w:val="18"/>
          <w:szCs w:val="18"/>
          <w:color w:val="auto"/>
        </w:rPr>
        <w:t xml:space="preserve"> is converted into uranium hexafluoride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This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xml:space="preserve"> would then undergo an enrichment process before being deconverted and fabricated into nuclear fuel. Alternatively, we may pursue licensing existing conversion technologies to build our own conversion facility. Management is also examining the future acquisition of a uranium mining operation to support our long-term vertically integrated strategy (although we have not entered into any material definitive agreements as of the date of this prospectus), any of which would signify progress in advancing our strategy to de-risk our fuel supply chain. We are actively evaluating existing pilot conversion facilities in which we may acquire an equity interest through investment in their development, and we are currently conducting the necessary due diligence, although as of the date of this prospectus, we have not entered into any definitive agreement for such acquisition. In parallel, we are exploring the collaboration opportunities with companies that license conversion technology to assess the potential for the longer-term construction of additional fuel facilities. We have made a $2 million strategic investment in, and entered into a collaboration with, a laser-based uranium enrichment technology company, LIS Technologies Inc. (“LIST”) (which is a related party), to support the development of their technology. Through this investment and related collaboration, we aim to assist in advancing LIST’s technologies to secure a reliable low enriched uranium fuel supply for our future operations and the broader nuclear energy industry. The parties intend that LIST will provide us with enriched uranium hexafluoride (UF6) at no cost to be fabricated and sold to customers, with LIST to receive compensation as part of a profit-sharing arrangement to be agreed upon between the companies in the future. To support LIST, we intend to construct the back end facilities alongside LIST’s enrichment facility, including the deconversion facility. We also leased 7,000 square feet of space at our Nuclear Technology Center in Oak Ridge, Tennessee to LIST. Our relationship with LIST is considered a related party transaction since certain of our executive directors and officers, including Jay Jiang Yu and Dr. Tsun Yee Law, also serve as directors and officers for LIST, and James Walker and Jaisun Garcha serve as consultants to LIST. Our investment in LIST was unanimously approved by all of our disinterested independent directors.</w:t>
      </w:r>
    </w:p>
    <w:p>
      <w:pPr>
        <w:spacing w:after="0" w:line="20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December 2024, we announced that LIST and our company were selected by the DOE to participate as one of six contract awardees in the DOE’s Low-Enriched Uranium (LEU) Enrichment Acquisition Program (“LEU Acquisition Program”). Under the contract awarded to LIST, LIST was selected as the prime contractor, with our company as the key subcontractor bringing our technical and regulatory expertise in advanced nuclear solutions to the collaboration. LIST will oversee the development of the primary uranium enrichment processes using its novel laser technology, while our company will contribute towards development in the areas of conversion, deconversion, fuel fabrication, and fuel transportation. The total overall amount appropriated under the LEU Acquisition Program across all six contract awardees is anticipated to be $3.4 billion, to be awarded by the DOE via agreed to task orders each having a minimum value of $2 million. We believe that participation in the $3.4 billion LEU Acquisition Program provides technical validation and potential federal contracts to support our operations.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2025, we announced that we have signed a memorandum of understanding with UrAmerica Ltd. (“UrAmerica”), a private exploration company with a package of uranium and other critical metals licenses primarily in Chubut Province, Argentina. The newly signed memorandum formalizes the discussions that we initiated with UrAmerica to explore strategic development across Argentina’s uranium-fuel supply chain. We are currently working together to evaluate specific opportunities that could aid us in securing a dependable source of material for future supply chain options. Such evaluations may lead to the signing of definitive agreements between us and UrAmerica related to particular projects. Through this memorandum, we and UrAmerica aim to build the mining and milling capacities of the uranium supply chain in Argentina with the intention to be a part of the uranium fuel cycle exports into the U.S. Under the memorandum, we will pursue (i) favorable uranium offtake agreements, (ii) potential investments in mineral production and (iii) fuel-cycle infrastructure, and (iv) future joint ventures or related collaboration. One of our goals in entering into the memorandum is to help modernize Argentina’s nuclear sector while strengthening U.S. energy security by sourcing materials for nuclear fuel from a reliable partner.</w:t>
      </w: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1120" w:top="972" w:right="479" w:bottom="1440" w:gutter="0" w:footer="0" w:header="0"/>
        </w:sectPr>
      </w:pPr>
    </w:p>
    <w:bookmarkStart w:id="51" w:name="page52"/>
    <w:bookmarkEnd w:id="51"/>
    <w:p>
      <w:pPr>
        <w:jc w:val="both"/>
        <w:ind w:left="640" w:hanging="321"/>
        <w:spacing w:after="0" w:line="255"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493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36130" cy="9493885"/>
                    </a:xfrm>
                    <a:prstGeom prst="rect">
                      <a:avLst/>
                    </a:prstGeom>
                    <a:noFill/>
                  </pic:spPr>
                </pic:pic>
              </a:graphicData>
            </a:graphic>
          </wp:anchor>
        </w:drawing>
        <w:t>Fuel Transportation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transportation business will build on existing work completed at INL, Oak Ridge National Laboratory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(“ORNL”) and Pacific Northwest National Laboratory (“PNNL”), the world’s premier U.S.-backed nuclear research facilities. As of the date of this prospectus, we have not yet commercially launched our fuel transportation business. We expect to launch our fuel transportation business by 2028. However, the timeline could be impacted by progress in acquiring additional assets and businesses within the nuclear transport industry to provide our company with the capabilities to internally move the materials, reactors, and fuels inherent within a reactor deployment operation, and as of the date of this prospectus, we have not entered into any definitive agreements for such acquisition. Accordingly, there can be no assurance that we will be able to launch the business as currently anticipated, or that such launch will occur by 2028, if at all.</w:t>
      </w:r>
    </w:p>
    <w:p>
      <w:pPr>
        <w:spacing w:after="0" w:line="188" w:lineRule="exact"/>
        <w:rPr>
          <w:rFonts w:ascii="Times New Roman" w:cs="Times New Roman" w:eastAsia="Times New Roman" w:hAnsi="Times New Roman"/>
          <w:sz w:val="18"/>
          <w:szCs w:val="18"/>
          <w:color w:val="auto"/>
        </w:rPr>
      </w:pPr>
    </w:p>
    <w:p>
      <w:pPr>
        <w:jc w:val="both"/>
        <w:ind w:left="640" w:right="20"/>
        <w:spacing w:after="0" w:line="21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fuel transportation business is still at the development stage as of the date of this prospectus. We received an exclusive license for a high capacity HALEU fuel transportation basket design in April 2024, which will form the basis for a new transportation package to complement a complete transportation system. This license grants us, as the licensee, exclusive rights for the use and development of the technology. In addition, the licensor is not permitted to license the technology to any other parties within the specified scope. We believe this technology is the most advanced concept in the United States for moving HALEU in commercial quantities. We are currently conducting work to modify the design to accommodate a variety of different fuel forms, so we are positioned to move fuel for both of our reactors and to enable us to provide transportation services to any nuclear company looking to move commercial quantities of fuel. In September 2024, we signed an agreement with GNS Gesellschaft für Nuklear-Service mbH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also seek to acquire assets and existing businesses within the nuclear transportation industry to provide our company with the capabilities to internally move the materials, reactors, and fuels inherent within a reactor deployment operation, although we have not entered into any definitive agreements as of the date of this prospectus. We intend to obtain NRC certification for our high-capacity HALEU transportation system to move commercial quantities of HALEU fuel around North America and internationally, complete further engineering work to modify designs for multiple fuel types, including UO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(uranium dioxide), UN (uranium nitride), UZrH (uranium zirconium hydride), UF (uranium-fluoride based fuels), and TRISO (tristructural isotropic particle fuel). As of the date of this prospectus, we have adapted our initially licensed intellectual property to accommodate additional fuel forms and have also begun evaluating broader transportation system development that may ultimately enable us to offer an integrated package capable of transporting multiple types of fuel for our commercial partners. If this business is developed and commercialized, we believe this product will serve as the basis for a domestic HALEU transportation company capable of providing commercial quantities of HALEU fuel. We hope to put our fuel transportation business into operation by 2028. We have also brought on a former United Parcel Service (UPS) executive who works for our fuel transportation subsidiary to assist in growing the transportation business around our technology.</w:t>
      </w:r>
    </w:p>
    <w:p>
      <w:pPr>
        <w:spacing w:after="0" w:line="205" w:lineRule="exact"/>
        <w:rPr>
          <w:rFonts w:ascii="Times New Roman" w:cs="Times New Roman" w:eastAsia="Times New Roman" w:hAnsi="Times New Roman"/>
          <w:sz w:val="18"/>
          <w:szCs w:val="18"/>
          <w:color w:val="auto"/>
        </w:rPr>
      </w:pPr>
    </w:p>
    <w:p>
      <w:pPr>
        <w:jc w:val="both"/>
        <w:ind w:left="6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NRC certification of the transportation system will require funding for engineering and regulatory licensing preparation. We plan to raise additional capital, including through our $400 million at-the-market offering program, to acquire logistics assets or companies to internalize transport capabilities, although as of the date of this prospectus, we have not entered into any definitive agreements for such acquisitions.</w:t>
      </w:r>
    </w:p>
    <w:p>
      <w:pPr>
        <w:spacing w:after="0" w:line="175" w:lineRule="exact"/>
        <w:rPr>
          <w:rFonts w:ascii="Times New Roman" w:cs="Times New Roman" w:eastAsia="Times New Roman" w:hAnsi="Times New Roman"/>
          <w:sz w:val="18"/>
          <w:szCs w:val="18"/>
          <w:color w:val="auto"/>
        </w:rPr>
      </w:pPr>
    </w:p>
    <w:p>
      <w:pPr>
        <w:jc w:val="both"/>
        <w:ind w:left="640" w:right="20" w:hanging="321"/>
        <w:spacing w:after="0" w:line="254"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Consultation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also plan on providing nuclear service support and consultation services for the expanding and resurgent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nuclear energy industry in 2026, both domestically and internationally. Regulatory approval is not required to provide such services. This business opportunity represents our nearest term revenue generating opportunity. As of the date of this prospectus, we have not yet formally launched our nuclear consultation business, although we have generated a small amount of revenue from providing services to Digihost as described below. Our goal is to start providing nuclear service support and consultation services for the nuclear energy industry in 2026 based on the estimated time we will take to conclude the acquisition evaluations and consummate the acquisitions. However, this timeline is subject to various uncertainties, including potential acquisitions of similar business (described below), and market-related factors, any of which may materially affect both the feasibility and timing of the launch. Accordingly, there can be no assurance that we will be able to launch the business as currently anticipated, or that such launch will occur in 2026, if at all.</w:t>
      </w:r>
    </w:p>
    <w:p>
      <w:pPr>
        <w:spacing w:after="0" w:line="192" w:lineRule="exact"/>
        <w:rPr>
          <w:rFonts w:ascii="Times New Roman" w:cs="Times New Roman" w:eastAsia="Times New Roman" w:hAnsi="Times New Roman"/>
          <w:sz w:val="18"/>
          <w:szCs w:val="18"/>
          <w:color w:val="auto"/>
        </w:rPr>
      </w:pPr>
    </w:p>
    <w:p>
      <w:pPr>
        <w:jc w:val="both"/>
        <w:ind w:left="6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U.S. domestic initiatives, following our collaboration with Digihost Technology Inc. (“Digihost”) in December 2024, we provided consulting services to Digihost from April to June 2025, despite not having formally launched our consulting service offerings. Our consulting support contributed to the planning and execution of the Digihost project and included regulatory advice, site assessment, roadmap development, and stakeholder engagement. We are currently evaluating strategic acquisitions or collaborations to expand our business operations and formally establish our consulting services, and have commenced several material discussions with potential targets for such acquisitions or collaborations, but as of the date of this prospectus, we have not entered into any definitive agreements for such acquisitions or collaborations. In combination with our intention to acquire existing revenue generating consultancy businesses, we are focusing on building our own internal nuclear consultation business in coordination with certain outside academic institutions, which we anticipate would require approximately $2 million over the next twelve months to recruit additional staff and build corresponding infrastructure to be capable of providing these services both domestically and internationally. As of the date of this prospectus, we believe we have sufficient funds to support the development of our nuclear consultation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Our mission is to become a commercially focused, diversified and vertically integrated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218"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Our Industry and Market</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U.S. domestic nuclear energy sector is undergoing a renaissance that we believe we can capitalize on. Strong demand signals and investment support from the Tech Industry, growing demand for clean energy sources to support climate mandates, combined with DOE programs intended to build back national nuclear infrastructure, have created positive market momentum and investor sentiment, which is further driving development and market forces within the nuclear energy industry.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support objectives of the DOE and the International Atomic Energy Agency (IAEA) for the peaceful use of nuclear energy, and we intend for our technology to form part of the U.S. foreign policy to advance the peaceful use of nuclear energy, science and technology, and drive new resources to projects and activities in developing countries with the greatest need. A key part of our business plan will seek to become a nuclear technology organization that can grow the U.S. global energy market engagement and concurrently support global market opportunities.</w:t>
      </w:r>
    </w:p>
    <w:p>
      <w:pPr>
        <w:spacing w:after="0" w:line="1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2021, the White House published a statement titled </w:t>
      </w:r>
      <w:r>
        <w:rPr>
          <w:rFonts w:ascii="Times New Roman" w:cs="Times New Roman" w:eastAsia="Times New Roman" w:hAnsi="Times New Roman"/>
          <w:sz w:val="18"/>
          <w:szCs w:val="18"/>
          <w:i w:val="1"/>
          <w:iCs w:val="1"/>
          <w:color w:val="auto"/>
        </w:rPr>
        <w:t>“FACT SHEET: President Biden Sets 2030 Greenhouse Gas Pollution Reduction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Aimed at Creating Good-Paying Union Jobs and Securing U.S. Leadership on Clean Energy Technologies.” </w:t>
      </w:r>
      <w:r>
        <w:rPr>
          <w:rFonts w:ascii="Times New Roman" w:cs="Times New Roman" w:eastAsia="Times New Roman" w:hAnsi="Times New Roman"/>
          <w:sz w:val="18"/>
          <w:szCs w:val="18"/>
          <w:color w:val="auto"/>
        </w:rPr>
        <w:t>On May 23, 2025, President Trump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series of executive orders aimed at accelerating the development and deployment of nuclear energy in the United States. These directives set forth a national objective to quadruple nuclear energy capacity by 2050 and direct federal agencies, including the DOE and the NRC, to implement policy reforms supporting the restart of shuttered plants, expedited licensing of new reactors, and expanded investment in advanced nuclear technologies such as small modular reactors (SMRs). The orders also emphasized strengthening the domestic uranium supply chain and supporting workforce development initiatives. These policy measures are expected to significantly impact the regulatory environment, capital access, and strategic direction of the nuclear energy sector.</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United States has taken numerous steps in recent years to reduce its dependence on carbon-emitting energy sources. The U.S. had previously set a goal to reach a 100% carbon pollution-free electricity system by 2035, and President Biden set a target of a 50 to 52% reduction from 2005 levels in economy-wide net greenhouse gas pollution by 2030, underlining the Biden administration’s desire for new energy solutions which are at the core of our business plans. Additionally, the “net zero world” initiative signals the U.S.’s proactive stance in working with countries to lead a global transition to net zero emissions by 2050. While it remains unclear how the Trump administration will view the net world zero initiative, it has already voiced support for the advanced reactor industry and declared its intention to support the build back of the nuclear industry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 Market Opportunity and Key Government Support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our achievements to date and our business plans are positioning our company to be a leading participant in the U.S. nuclear energy and technology industry through simultaneously rebuilding and introducing national capabilities to drive the resurgent nuclear energy industry. We further believe that our timing and approach into the industry have been optimal, with insight into national capability deficiencies and an understanding of the difficulties faced by other commercial nuclear energy, particularly microreactor, companies. Almost all microreactor companies have advanced using funds acquired from government grants or awards. Even with private funding, they have been stifled by lack of investor interest because of the long return timelines and high risks.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we are competitively differentiated in many ways.</w:t>
      </w:r>
    </w:p>
    <w:p>
      <w:pPr>
        <w:spacing w:after="0" w:line="221" w:lineRule="exact"/>
        <w:rPr>
          <w:sz w:val="20"/>
          <w:szCs w:val="20"/>
          <w:color w:val="auto"/>
        </w:rPr>
      </w:pPr>
    </w:p>
    <w:p>
      <w:pPr>
        <w:jc w:val="both"/>
        <w:ind w:left="640" w:right="20" w:hanging="321"/>
        <w:spacing w:after="0" w:line="268"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Non-Dependent on Government Funding</w:t>
      </w:r>
      <w:r>
        <w:rPr>
          <w:rFonts w:ascii="Times New Roman" w:cs="Times New Roman" w:eastAsia="Times New Roman" w:hAnsi="Times New Roman"/>
          <w:sz w:val="18"/>
          <w:szCs w:val="18"/>
          <w:color w:val="auto"/>
        </w:rPr>
        <w:t>. Most small modular reactor (SMR) and microreactor companies are reliant on government grants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financing to progress their concepts. Consequently, their progress may cease once government funding is not available. Conversely, we do not rely on government funding to sustain our business operations.</w:t>
      </w:r>
    </w:p>
    <w:p>
      <w:pPr>
        <w:spacing w:after="0" w:line="170" w:lineRule="exact"/>
        <w:rPr>
          <w:rFonts w:ascii="Times New Roman" w:cs="Times New Roman" w:eastAsia="Times New Roman" w:hAnsi="Times New Roman"/>
          <w:sz w:val="18"/>
          <w:szCs w:val="18"/>
          <w:color w:val="auto"/>
        </w:rPr>
      </w:pPr>
    </w:p>
    <w:p>
      <w:pPr>
        <w:jc w:val="both"/>
        <w:ind w:left="640" w:hanging="321"/>
        <w:spacing w:after="0" w:line="257"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Technical Insight</w:t>
      </w:r>
      <w:r>
        <w:rPr>
          <w:rFonts w:ascii="Times New Roman" w:cs="Times New Roman" w:eastAsia="Times New Roman" w:hAnsi="Times New Roman"/>
          <w:sz w:val="18"/>
          <w:szCs w:val="18"/>
          <w:color w:val="auto"/>
        </w:rPr>
        <w:t>. On the technical front, we have benefited from insight into the problems which affected earlier movers within the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reactor space. SMR companies have raised billions of dollars for development but have been stalled by technical challenges, such as needing to qualify fuel or coolants, or acquiring the fuel necessary to advance their reactors. This led to our investigations into de-risking our own fuel supply by pursuing development and investment into the fuel supply chain and examining our own fuel processing facilities, as well as opting to use more conventional fuel with greater operational history. We believe we have identified certain problems affecting the industry and we are taking early action to surmount potential roadblocks.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53" w:name="page54"/>
    <w:bookmarkEnd w:id="53"/>
    <w:p>
      <w:pPr>
        <w:jc w:val="both"/>
        <w:ind w:left="640" w:hanging="321"/>
        <w:spacing w:after="0" w:line="254"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613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Government Contacts</w:t>
      </w:r>
      <w:r>
        <w:rPr>
          <w:rFonts w:ascii="Times New Roman" w:cs="Times New Roman" w:eastAsia="Times New Roman" w:hAnsi="Times New Roman"/>
          <w:sz w:val="18"/>
          <w:szCs w:val="18"/>
          <w:color w:val="auto"/>
        </w:rPr>
        <w:t>. During 2024 and 2025, individuals with high placed government service and contacts joined our company.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(i) John G. Vonglis, the former Chief Financial Officer of the DOE, who joined as our Executive Director of Global Government Affairs, (ii) Eric R. Oesterle, a former Branch Chief for Operating Reactor Licensing at the NRC, who joined as our Head of Microreactor Regulatory Licensing, (iii) David Tiktinsky, a forty year veteran of the NRC, who joined as our Head of Nuclear Regulatory Licensing and (iv) Dr. Seth Berl, a former Deputy Chief Data Officer at the DOE, who joined our board of directors. In addition, a number of former high-ranking military and government officials with significant experience in nuclear energy sit on our Executive Advisory Board. Our recruitment efforts were complemented by bringing in experts involved in every major part of the nuclear industry, from regulation to laboratories, to technical teams. We believe we will benefit from those government contacts as our company will be afforded access to highly skilled personnel possessing advanced expertise in the energy and nuclear sectors.</w:t>
      </w:r>
    </w:p>
    <w:p>
      <w:pPr>
        <w:spacing w:after="0" w:line="188" w:lineRule="exact"/>
        <w:rPr>
          <w:rFonts w:ascii="Times New Roman" w:cs="Times New Roman" w:eastAsia="Times New Roman" w:hAnsi="Times New Roman"/>
          <w:sz w:val="18"/>
          <w:szCs w:val="18"/>
          <w:color w:val="auto"/>
        </w:rPr>
      </w:pPr>
    </w:p>
    <w:p>
      <w:pPr>
        <w:jc w:val="both"/>
        <w:ind w:left="640" w:right="20" w:hanging="321"/>
        <w:spacing w:after="0" w:line="26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World Class Team</w:t>
      </w:r>
      <w:r>
        <w:rPr>
          <w:rFonts w:ascii="Times New Roman" w:cs="Times New Roman" w:eastAsia="Times New Roman" w:hAnsi="Times New Roman"/>
          <w:sz w:val="18"/>
          <w:szCs w:val="18"/>
          <w:color w:val="auto"/>
        </w:rPr>
        <w:t>. Our technical team is world class, with simple and realizable reactor concepts that do not require exotic fuels, and is 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all the difficulties faced by almost every other reactor company who has chosen designs which have complicated development and licensing. Our team has a deep knowledge of applicable regulatory requirements surrounding safety, transportation, and decommissioning, and our designs have incorporated all these considerations from the outset.</w:t>
      </w:r>
    </w:p>
    <w:p>
      <w:pPr>
        <w:spacing w:after="0" w:line="176" w:lineRule="exact"/>
        <w:rPr>
          <w:rFonts w:ascii="Times New Roman" w:cs="Times New Roman" w:eastAsia="Times New Roman" w:hAnsi="Times New Roman"/>
          <w:sz w:val="18"/>
          <w:szCs w:val="18"/>
          <w:color w:val="auto"/>
        </w:rPr>
      </w:pPr>
    </w:p>
    <w:p>
      <w:pPr>
        <w:jc w:val="both"/>
        <w:ind w:left="640" w:right="20" w:hanging="321"/>
        <w:spacing w:after="0" w:line="26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Initiatives</w:t>
      </w:r>
      <w:r>
        <w:rPr>
          <w:rFonts w:ascii="Times New Roman" w:cs="Times New Roman" w:eastAsia="Times New Roman" w:hAnsi="Times New Roman"/>
          <w:sz w:val="18"/>
          <w:szCs w:val="18"/>
          <w:color w:val="auto"/>
        </w:rPr>
        <w:t>. We believe that the U.S. government is increasingly showing strong support for nuclear energy through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initiatives aimed at advancing nuclear technology, all of which further our business plans and opportunities. This support has taken various forms, including legislation, grants, project funding and loan guarantees. Aside from the support for existing nuclear capabilities, all of these initiatives have the potential directly or indirectly to benefit and support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we have the following competitive strengths relating to our various business lines:</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Nuclear Reactor Business. </w:t>
      </w:r>
      <w:r>
        <w:rPr>
          <w:rFonts w:ascii="Times New Roman" w:cs="Times New Roman" w:eastAsia="Times New Roman" w:hAnsi="Times New Roman"/>
          <w:sz w:val="18"/>
          <w:szCs w:val="18"/>
          <w:color w:val="auto"/>
        </w:rPr>
        <w:t>Unlike other nuclear reactor companies, we are seeking to become a vertically integrated company with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streams of revenue, a diversified business to hedge against market changes, and greater control over industries supporting microreactor development, such as within the nuclear fuel supply chain and transportation. Our diversified business model will make us highly differentiated from other reactor companies. We believe we have an expertise advantage over other companies developing microreactors, as we can and have recruited some of the best scientists, engineers and professionals in the world from any country or institution, without being constrained by the available personnel located within certain academic and professional institutions. The technical personnel involved in the current design of our reactors have been involved with the design and development of dozens of different reactors.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believe our lead project, the KRONOS MMR™ Energy System, has among the most, if not the most, high technology readiness of the current known microreactor designs in the market given the millions of dollars of research and development invested in the project by its prior owner. We believe this gives the KRONOS MMR™ Energy System an advantage over other competing microreactor designs.</w:t>
      </w:r>
    </w:p>
    <w:p>
      <w:pPr>
        <w:spacing w:after="0" w:line="17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Processing Business. </w:t>
      </w:r>
      <w:r>
        <w:rPr>
          <w:rFonts w:ascii="Times New Roman" w:cs="Times New Roman" w:eastAsia="Times New Roman" w:hAnsi="Times New Roman"/>
          <w:sz w:val="18"/>
          <w:szCs w:val="18"/>
          <w:color w:val="auto"/>
        </w:rPr>
        <w:t>We believe, based on our market research, that no SMR and microreactor company is currently developing an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supply chain to produce the fuel for their reactors. Our strategy to develop fuel for our own reactors will also position us to supply fuel to the wider nuclear industry and other reactor manufacturers, addressing anticipated significant shortfalls in fuel supply.</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Fuel Transportation Business. </w:t>
      </w:r>
      <w:r>
        <w:rPr>
          <w:rFonts w:ascii="Times New Roman" w:cs="Times New Roman" w:eastAsia="Times New Roman" w:hAnsi="Times New Roman"/>
          <w:sz w:val="18"/>
          <w:szCs w:val="18"/>
          <w:color w:val="auto"/>
        </w:rPr>
        <w:t>We identified a transportation concept which investigated a high capacity HALEU fuel transportation basket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developed by INL, ORNL and PNNL, and funded by the DOE. The technology was pursued by DOE to create a full HALEU transportation package, which provided the most advanced solution to address the technological challenge of moving commercial quantities of HALEU fuel around North America. The development of this concept had not been continued by the DOE due to lack of funding. On April 3, 2024, we entered into the BEA License with BEA for this nuclear fuel transportation package, and have been working with the groups capable of aiding us in the development of the concept into an NRC certified and transportation package for the transportation of HALEU materials.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Our Challenges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plan to develop and launch a vertically integrated, high technology nuclear energy business faces and will continue to face many significant challenges, as our business involves complex nuclear technology, regulatory hurdles, rapidly shifting market dynamics and intense competition. These challenges include, but are not limited to, the following:</w:t>
      </w:r>
    </w:p>
    <w:p>
      <w:pPr>
        <w:spacing w:after="0" w:line="176" w:lineRule="exact"/>
        <w:rPr>
          <w:sz w:val="20"/>
          <w:szCs w:val="20"/>
          <w:color w:val="auto"/>
        </w:rPr>
      </w:pPr>
    </w:p>
    <w:p>
      <w:pPr>
        <w:jc w:val="both"/>
        <w:ind w:left="640" w:right="20" w:hanging="321"/>
        <w:spacing w:after="0" w:line="258"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necessary permits and licenses for nuclear reactors, fuel facilities and transportation capabilities is time-consuming and expensive. Nuclear reactors must meet stringent safety and environmental standards, and gaining regulatory approval can be a lengthy endeavor. Additionally, ensuring the safety of a microreactor throughout its lifecycle is paramount. Developing, implementing, and maintaining robust safety systems and protocols are critical challenges. Implementing robust security measures to protect against theft, sabotage, or unauthorized access is also critical for both regulatory compliance and public safety.</w:t>
      </w:r>
    </w:p>
    <w:p>
      <w:pPr>
        <w:spacing w:after="0" w:line="183" w:lineRule="exact"/>
        <w:rPr>
          <w:rFonts w:ascii="Times New Roman" w:cs="Times New Roman" w:eastAsia="Times New Roman" w:hAnsi="Times New Roman"/>
          <w:sz w:val="18"/>
          <w:szCs w:val="18"/>
          <w:color w:val="auto"/>
        </w:rPr>
      </w:pPr>
    </w:p>
    <w:p>
      <w:pPr>
        <w:jc w:val="both"/>
        <w:ind w:left="640" w:right="20" w:hanging="321"/>
        <w:spacing w:after="0" w:line="241"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operating a microreactor and our other nuclear energy-related facilities is very capital-intensive. Securing the necessary significant funding and managing costs, including but not limited to operational and maintenance costs, are ongoing challenges for our business. We estimate that the capital costs needed to construct the prototype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reactors at the UIUC and Canada over the next several years could be around $300 million to $350 million per reactor, given the bespoke nature of these initial construction projects. This range reflects inherent uncertainty in building a first-of-a-kind reactor due to several factors that can result in a material increase to these estimates, including site specific factors, the timing and scope of project development and regulatory licensing and supply chain considerations. The range also assumes what we believe are conservative cost estimates for our initial demonstration reactors. Subsequent reactors’ capital costs are expected to decline substantially due to supply chain scaling for mass production of components, factory fabrication, modular assembly, and multiple deployments.</w:t>
      </w:r>
    </w:p>
    <w:p>
      <w:pPr>
        <w:spacing w:after="0" w:line="202" w:lineRule="exact"/>
        <w:rPr>
          <w:rFonts w:ascii="Times New Roman" w:cs="Times New Roman" w:eastAsia="Times New Roman" w:hAnsi="Times New Roman"/>
          <w:sz w:val="18"/>
          <w:szCs w:val="18"/>
          <w:color w:val="auto"/>
        </w:rPr>
      </w:pPr>
    </w:p>
    <w:p>
      <w:pPr>
        <w:ind w:left="640" w:right="20" w:hanging="321"/>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regulatory and competitive landscape can change, impacting the stability and viability of nuclear projects. International agreements and geopolitical factors can also affect nuclear technology, access and export.</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this prospectus and the documents incorporated herein by reference, we provide our current estimated timelines for advancing and commercially launching our business lines. Readers are cautioned, however, there can be no assurance that we will meet our anticipated timelines, if at all, as our business operations are subject to the completion of ongoing technical, regulatory, and operational preparations, which are inherently uncertain and risky given the nature of our business and may be affected by factors beyond our control.</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further information on the challenges we face, please see the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this prospectus and in the documents incorporated herein by reference, most notably our 2025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2025, which was filed on December 18, 2025, and our Quarterly Report on Form 10-Q for the three months ended December 31, 2025, which was filed on February 17,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face significant competition within our industry. Our competitors target similar power output ranges and employ a range of technologies, including both conventional and novel nuclear reactor designs. In addition, we face competition outside the nuclear energy sector, including fossil fuel-based power generation, renewable energy sources, long duration energy storage solutions, and other nuclear reactor technologies. However, as described above in “Competitive Strengths”, we believe we are positioned better than our competition to emerge as a leading supplier of carbon-free round the clock energy generation.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acquired or licensed important intellectual property to protect our technologies. As of the date of this prospectus, we have a total of 47 issued, pending, or published patents, and 21 registered, pending, or published trademarks.</w:t>
      </w:r>
    </w:p>
    <w:p>
      <w:pPr>
        <w:spacing w:after="0" w:line="16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Specifically, we have 30 issued, pending or published patents, 18 registered, pending or published trademarks, and other technology and intellectual property related to the KRONOS MMR™ Energy System and LOKI MMR™ Energy System. Of these patents and patent applications, eleven were filed with the USPTO, and nineteen were filed with foreign patent offices in various jurisdictions, including Canada, Europe, Korea, China, Japan, United Kingdom, and South Africa. In addition, we also hold intellectual property and related rights associated with a demonstration project in the United States, including commercial and non-commercial licensing rights.</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12 patent applications related to various aspects of the ZEUS™ microreactor and power plant design, including six U.S. utility applications and six corresponding international applications filed under the PCT. The U.S utility applications are pending and awaiting examination by the USPTO, and the PCT international applications await national stage entry as of the date of this prospectus. We have one pending trademark application related to the ZEUS™ technology.</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also have five patent applications related to our acquired ALIP technology for small nuclear reactor cooling, which include four U.S. utility applications and one international PCT application. As of the date of this prospectus, the U.S. utility applications are pending and awaiting examination by the USPTO, and the international PCT application is awaiting national entry.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have an exclusive license granted by Battelle Energy Alliance, LLC, the manager of the INL (BEA) for our fuel transportation technology, and one pending trademark application related to our fuel transportation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Our Executive Officers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of our executive officers are employed with us under employment agreements.</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Almost all of our executive officers have management, advisory or directorship positions with other companies and may allocate their time to other businesses, which may pose certain risks in fulfilling their obligations with us. Mr. Yu has concurrently served on the board and management team of</w:t>
      </w:r>
    </w:p>
    <w:p>
      <w:pPr>
        <w:sectPr>
          <w:pgSz w:w="11900" w:h="16838" w:orient="portrait"/>
          <w:cols w:equalWidth="0" w:num="1">
            <w:col w:w="10940"/>
          </w:cols>
          <w:pgMar w:left="480" w:top="914" w:right="479" w:bottom="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several companies and currently allocates at least 15 hours per week to his roles at other companies. Mr. Yu also concurrently serves as the chief executive officer and chairman of the board of LIST. Mr. James Walker, our Chief Executive Officer, currently allocates at least five hours per week to support Ares Strategic Mining Inc. (or Ares), a Canadian-based company listed on the Canadian Stock Exchange under (Ticker: ARS) engaged in junior natural resource mining, where he is responsible for the construction of plants, purchases of land, operations, marketing, financing, safety regulation compliance, and shareholder relations. He is also concurrently serving on the board of directors of several small-cap publicly traded companies and a consultant to LIST. Mr. Jaisun Garcha, our Chief Financial Officer, is currently, and will continue to, work full time with us, and is currently also working as a consultant to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-965200</wp:posOffset>
            </wp:positionV>
            <wp:extent cx="7136130" cy="2093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359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on February 8, 2022. Our principal executive office is located at 10 Times Square,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10018, and our telephone number is (212) 634-9206. Our website is www.nanonuclearenergy.com. Information contained on, or available through, our website does not constitute part of, and is not deemed incorporated by reference into, this prospectus, and investors should not rely on such information in deciding whether to purchase shares of our common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121" w:right="479" w:bottom="1440" w:gutter="0" w:footer="0" w:header="0"/>
        </w:sectPr>
      </w:pPr>
    </w:p>
    <w:bookmarkStart w:id="56" w:name="page57"/>
    <w:bookmarkEnd w:id="56"/>
    <w:p>
      <w:pPr>
        <w:ind w:left="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199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6130" cy="8199120"/>
                    </a:xfrm>
                    <a:prstGeom prst="rect">
                      <a:avLst/>
                    </a:prstGeom>
                    <a:noFill/>
                  </pic:spPr>
                </pic:pic>
              </a:graphicData>
            </a:graphic>
          </wp:anchor>
        </w:drawing>
        <w:t>Summary of Consolidated Financial Information</w:t>
      </w:r>
    </w:p>
    <w:p>
      <w:pPr>
        <w:spacing w:after="0" w:line="229" w:lineRule="exact"/>
        <w:rPr>
          <w:sz w:val="20"/>
          <w:szCs w:val="20"/>
          <w:color w:val="auto"/>
        </w:rPr>
      </w:pPr>
    </w:p>
    <w:p>
      <w:pPr>
        <w:jc w:val="both"/>
        <w:ind w:left="160" w:right="140"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summary financial and other data for the periods ended and at the dates indicated below. Our summary financial information for the years ended September 30, 2025 and 2024 has been derived from our audited condensed consolidated financial statements incorporated by reference in this prospectus. Our summary financial information for the three months ended December 31, 2025 and 2024 has been derived from our unaudited consolidated financial statements incorporated by reference in this prospectus. The financial data set forth below should be read in conjunction with “Management’s Discussion and Analysis of Financial Condition and Results of Operations”, the audited consolidated financial statements and notes thereto included in our 2025 Annual Report and the unaudited condensed consolidated financial statements and notes thereto included in our Quarterly Report for the three months ended December 31, 2025, which have been filed with the SEC and are incorporated by reference into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680" w:type="dxa"/>
            <w:vAlign w:val="bottom"/>
          </w:tcPr>
          <w:p>
            <w:pPr>
              <w:jc w:val="center"/>
              <w:ind w:left="4150"/>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1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1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1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160" w:type="dxa"/>
            <w:vAlign w:val="bottom"/>
          </w:tcPr>
          <w:p>
            <w:pPr>
              <w:spacing w:after="0"/>
              <w:rPr>
                <w:sz w:val="21"/>
                <w:szCs w:val="21"/>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8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577,533,949</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current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Marketable securities, at fair value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279,677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580,764,896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204,667,913</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non-current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11,029,284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 related party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63"/>
        </w:trPr>
        <w:tc>
          <w:tcPr>
            <w:tcW w:w="160" w:type="dxa"/>
            <w:vAlign w:val="bottom"/>
          </w:tcPr>
          <w:p>
            <w:pPr>
              <w:spacing w:after="0"/>
              <w:rPr>
                <w:sz w:val="22"/>
                <w:szCs w:val="2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606,056,161</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120" w:type="dxa"/>
            <w:vAlign w:val="bottom"/>
            <w:tcBorders>
              <w:bottom w:val="single" w:sz="8" w:color="CCEEFF"/>
            </w:tcBorders>
          </w:tcPr>
          <w:p>
            <w:pPr>
              <w:spacing w:after="0"/>
              <w:rPr>
                <w:sz w:val="22"/>
                <w:szCs w:val="22"/>
                <w:color w:val="auto"/>
              </w:rPr>
            </w:pPr>
          </w:p>
        </w:tc>
        <w:tc>
          <w:tcPr>
            <w:tcW w:w="140" w:type="dxa"/>
            <w:vAlign w:val="bottom"/>
          </w:tcPr>
          <w:p>
            <w:pPr>
              <w:spacing w:after="0"/>
              <w:rPr>
                <w:sz w:val="22"/>
                <w:szCs w:val="22"/>
                <w:color w:val="auto"/>
              </w:rPr>
            </w:pPr>
          </w:p>
        </w:tc>
      </w:tr>
      <w:tr>
        <w:trPr>
          <w:trHeight w:val="223"/>
        </w:trPr>
        <w:tc>
          <w:tcPr>
            <w:tcW w:w="160" w:type="dxa"/>
            <w:vAlign w:val="bottom"/>
          </w:tcPr>
          <w:p>
            <w:pPr>
              <w:spacing w:after="0"/>
              <w:rPr>
                <w:sz w:val="19"/>
                <w:szCs w:val="19"/>
                <w:color w:val="auto"/>
              </w:rPr>
            </w:pPr>
          </w:p>
        </w:tc>
        <w:tc>
          <w:tcPr>
            <w:tcW w:w="6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6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2,540,706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1,314,596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1,978,000</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3,826,724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2,145,365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2,261,414</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6,477,372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6,088,138</w:t>
            </w:r>
          </w:p>
        </w:tc>
        <w:tc>
          <w:tcPr>
            <w:tcW w:w="12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160" w:type="dxa"/>
            <w:vAlign w:val="bottom"/>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98"/>
        </w:trPr>
        <w:tc>
          <w:tcPr>
            <w:tcW w:w="160" w:type="dxa"/>
            <w:vAlign w:val="bottom"/>
          </w:tcPr>
          <w:p>
            <w:pPr>
              <w:spacing w:after="0"/>
              <w:rPr>
                <w:sz w:val="17"/>
                <w:szCs w:val="17"/>
                <w:color w:val="auto"/>
              </w:rPr>
            </w:pPr>
          </w:p>
        </w:tc>
        <w:tc>
          <w:tcPr>
            <w:tcW w:w="6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December 31, 2025 and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 none issued and outstanding as of December 31, 2025 and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December 31, 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September 30, 2025; 50,581,794 and 41,738,358 shares issued and outstanding as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September 30, 2025,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663,601,589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280,065,412</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(64,017,136)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(57,500,857)</w:t>
            </w: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599,578,789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120" w:type="dxa"/>
            <w:vAlign w:val="bottom"/>
            <w:tcBorders>
              <w:bottom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606,056,161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16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429"/>
        </w:trPr>
        <w:tc>
          <w:tcPr>
            <w:tcW w:w="684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 current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204,667,913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29,341,204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Deposits, non-current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investments, related party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35,096,170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1,314,596</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3,826,724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6,088,138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September 30, 2025 and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2024; none issued and outstanding as of September 30, 2025 and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September 30, 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September 30, 2024; 41,738,358 and 30,715,663 shares issued and outstanding as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September 30, 2025 and September 30, 2024,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280,065,412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(57,500,857)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(17,433,781)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35,096,170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6"/>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center"/>
              <w:ind w:right="3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6"/>
              </w:rPr>
              <w:t>Operating expenses</w:t>
            </w:r>
          </w:p>
        </w:tc>
        <w:tc>
          <w:tcPr>
            <w:tcW w:w="5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6,886,603</w:t>
            </w:r>
          </w:p>
        </w:tc>
        <w:tc>
          <w:tcPr>
            <w:tcW w:w="200" w:type="dxa"/>
            <w:vAlign w:val="bottom"/>
          </w:tcPr>
          <w:p>
            <w:pPr>
              <w:spacing w:after="0"/>
              <w:rPr>
                <w:sz w:val="18"/>
                <w:szCs w:val="18"/>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5,400,410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(727,500)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11,559,513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3,923,743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5,013,557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(122,838)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accounts receivable</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(6,516,279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(6,526,999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49,807,203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33,964,495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49,807,203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33,964,495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480" w:top="914" w:right="479" w:bottom="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6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6"/>
              </w:rPr>
              <w:t>Operating expenses</w:t>
            </w:r>
          </w:p>
        </w:tc>
        <w:tc>
          <w:tcPr>
            <w:tcW w:w="332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29,562,520</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6,850,993</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15,446,513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3,725,565</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(46,216,533)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(10,510,558)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6,149,457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359,002</w:t>
            </w:r>
          </w:p>
        </w:tc>
        <w:tc>
          <w:tcPr>
            <w:tcW w:w="120" w:type="dxa"/>
            <w:vAlign w:val="bottom"/>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(40,067,076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(10,151,556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0" w:type="dxa"/>
            <w:vAlign w:val="bottom"/>
            <w:tcBorders>
              <w:left w:val="single" w:sz="8" w:color="auto"/>
            </w:tcBorders>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Borders>
              <w:bottom w:val="single" w:sz="8" w:color="CCEEFF"/>
            </w:tcBorders>
            <w:gridSpan w:val="2"/>
            <w:vMerge w:val="continue"/>
          </w:tcPr>
          <w:p>
            <w:pPr>
              <w:spacing w:after="0"/>
              <w:rPr>
                <w:sz w:val="20"/>
                <w:szCs w:val="20"/>
                <w:color w:val="auto"/>
              </w:rPr>
            </w:pPr>
          </w:p>
        </w:tc>
        <w:tc>
          <w:tcPr>
            <w:tcW w:w="19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0" w:type="dxa"/>
            <w:vAlign w:val="bottom"/>
            <w:tcBorders>
              <w:left w:val="single" w:sz="8" w:color="auto"/>
            </w:tcBorders>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37,910,547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37,910,547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26,222,442</w:t>
            </w:r>
          </w:p>
        </w:tc>
        <w:tc>
          <w:tcPr>
            <w:tcW w:w="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60" w:type="dxa"/>
            <w:vAlign w:val="bottom"/>
            <w:tcBorders>
              <w:left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-2699385</wp:posOffset>
            </wp:positionV>
            <wp:extent cx="694372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-2425065</wp:posOffset>
            </wp:positionV>
            <wp:extent cx="694372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-2133600</wp:posOffset>
            </wp:positionV>
            <wp:extent cx="694372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-1851025</wp:posOffset>
            </wp:positionV>
            <wp:extent cx="6943725"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43725" cy="16319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-1533525</wp:posOffset>
            </wp:positionV>
            <wp:extent cx="694372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-1233805</wp:posOffset>
            </wp:positionV>
            <wp:extent cx="6943725"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43725" cy="1625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-916305</wp:posOffset>
            </wp:positionV>
            <wp:extent cx="694372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-616585</wp:posOffset>
            </wp:positionV>
            <wp:extent cx="694372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449"/>
        </w:trPr>
        <w:tc>
          <w:tcPr>
            <w:tcW w:w="160" w:type="dxa"/>
            <w:vAlign w:val="bottom"/>
            <w:tcBorders>
              <w:top w:val="single" w:sz="8" w:color="auto"/>
              <w:left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17"/>
          </w:tcPr>
          <w:p>
            <w:pPr>
              <w:jc w:val="right"/>
              <w:ind w:right="821"/>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Stockholders’ Equity</w:t>
            </w: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Borders>
              <w:left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24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34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41,738,358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$ 280,065,412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(57,500,857)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$ 222,568,728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8,490,767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399,999,183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400,000,033</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(21,520,711)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(21,520,711)</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140,169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2,445,034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2,445,048</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2,072,690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2,072,690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(6,516,279)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(6,516,279)</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0" w:type="dxa"/>
            <w:vAlign w:val="bottom"/>
            <w:tcBorders>
              <w:left w:val="single" w:sz="8" w:color="auto"/>
            </w:tcBorders>
          </w:tcPr>
          <w:p>
            <w:pPr>
              <w:spacing w:after="0"/>
              <w:rPr>
                <w:sz w:val="17"/>
                <w:szCs w:val="17"/>
                <w:color w:val="auto"/>
              </w:rPr>
            </w:pPr>
          </w:p>
        </w:tc>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0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(10,720)</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50,581,794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663,601,589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(64,017,136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$ 599,578,789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left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2024</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Borders>
              <w:left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4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(17,433,781)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vMerge w:val="restart"/>
          </w:tcPr>
          <w:p>
            <w:pPr>
              <w:spacing w:after="0"/>
              <w:rPr>
                <w:sz w:val="21"/>
                <w:szCs w:val="21"/>
                <w:color w:val="auto"/>
              </w:rPr>
            </w:pPr>
          </w:p>
        </w:tc>
        <w:tc>
          <w:tcPr>
            <w:tcW w:w="3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4,935,294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101,399,518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101,400,012</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(9,058,856)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(9,058,856)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8,014,286</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(3,113,362)</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20" w:type="dxa"/>
            <w:vAlign w:val="bottom"/>
          </w:tcPr>
          <w:p>
            <w:pPr>
              <w:spacing w:after="0"/>
              <w:rPr>
                <w:sz w:val="19"/>
                <w:szCs w:val="19"/>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36,742,099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150,600,504</w:t>
            </w:r>
          </w:p>
        </w:tc>
        <w:tc>
          <w:tcPr>
            <w:tcW w:w="1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(20,547,143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130,057,036</w:t>
            </w: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0" w:type="dxa"/>
            <w:vAlign w:val="bottom"/>
            <w:tcBorders>
              <w:left w:val="single" w:sz="8" w:color="auto"/>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-3719830</wp:posOffset>
            </wp:positionV>
            <wp:extent cx="694372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-3445510</wp:posOffset>
            </wp:positionV>
            <wp:extent cx="694372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-3171190</wp:posOffset>
            </wp:positionV>
            <wp:extent cx="69437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-2896870</wp:posOffset>
            </wp:positionV>
            <wp:extent cx="6943725" cy="283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43725" cy="28321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-1464945</wp:posOffset>
            </wp:positionV>
            <wp:extent cx="694372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43725" cy="1543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-1173480</wp:posOffset>
            </wp:positionV>
            <wp:extent cx="694372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-899795</wp:posOffset>
            </wp:positionV>
            <wp:extent cx="694372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-616585</wp:posOffset>
            </wp:positionV>
            <wp:extent cx="694372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43725" cy="16256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449"/>
        </w:trPr>
        <w:tc>
          <w:tcPr>
            <w:tcW w:w="3220" w:type="dxa"/>
            <w:vAlign w:val="bottom"/>
            <w:tcBorders>
              <w:top w:val="single" w:sz="8" w:color="auto"/>
              <w:lef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For the Year Ended September 30, 2025</w:t>
            </w: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Borders>
              <w:left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right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right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tcPr>
          <w:p>
            <w:pPr>
              <w:spacing w:after="0"/>
              <w:rPr>
                <w:sz w:val="18"/>
                <w:szCs w:val="18"/>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8,824,183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206,399,132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206,400,015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(15,076,556)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(15,076,556)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1,254,512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18,476,051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18,476,174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18,824,215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18,824,215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(40,067,076)</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(40,067,076)</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41,738,358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280,065,412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(57,500,857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222,568,728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20" w:type="dxa"/>
            <w:vAlign w:val="bottom"/>
            <w:tcBorders>
              <w:lef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For the Year Ended September 30, 2024</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0" w:type="dxa"/>
            <w:vAlign w:val="bottom"/>
            <w:tcBorders>
              <w:left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0" w:type="dxa"/>
            <w:vAlign w:val="bottom"/>
            <w:tcBorders>
              <w:lef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4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9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right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23,184,869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9,288,553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(7,282,225)</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Mezzanine equity conversion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(5,000,000)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4,999,800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4,804,019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34,953,456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34,953,937</w:t>
            </w: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(3,629,829)</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(3,629,829)</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0" w:type="dxa"/>
            <w:vAlign w:val="bottom"/>
            <w:tcBorders>
              <w:left w:val="single" w:sz="8" w:color="auto"/>
            </w:tcBorders>
          </w:tcPr>
          <w:p>
            <w:pPr>
              <w:spacing w:after="0"/>
              <w:rPr>
                <w:sz w:val="17"/>
                <w:szCs w:val="17"/>
                <w:color w:val="auto"/>
              </w:rPr>
            </w:pP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R&amp;D acquisition common stock</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issuances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786,495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1,275,500</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593,000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1,043,941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1,044,000</w:t>
            </w: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320,257</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(10,151,556)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(10,151,556)</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49,038,165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(17,433,781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0" w:type="dxa"/>
            <w:vAlign w:val="bottom"/>
            <w:tcBorders>
              <w:left w:val="single" w:sz="8" w:color="auto"/>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-4105275</wp:posOffset>
            </wp:positionV>
            <wp:extent cx="694372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-3831590</wp:posOffset>
            </wp:positionV>
            <wp:extent cx="694372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-3556635</wp:posOffset>
            </wp:positionV>
            <wp:extent cx="694372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-3274060</wp:posOffset>
            </wp:positionV>
            <wp:extent cx="694372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-1996440</wp:posOffset>
            </wp:positionV>
            <wp:extent cx="694372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-1722755</wp:posOffset>
            </wp:positionV>
            <wp:extent cx="694372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-1447800</wp:posOffset>
            </wp:positionV>
            <wp:extent cx="6943725" cy="274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43725" cy="27432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-1036955</wp:posOffset>
            </wp:positionV>
            <wp:extent cx="694372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-762635</wp:posOffset>
            </wp:positionV>
            <wp:extent cx="694372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449"/>
        </w:trPr>
        <w:tc>
          <w:tcPr>
            <w:tcW w:w="160" w:type="dxa"/>
            <w:vAlign w:val="bottom"/>
            <w:tcBorders>
              <w:top w:val="single" w:sz="8" w:color="auto"/>
              <w:left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3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Consolidated Statements of Cash Flows</w:t>
            </w:r>
          </w:p>
        </w:tc>
        <w:tc>
          <w:tcPr>
            <w:tcW w:w="1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Borders>
              <w:left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Borders>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Borders>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Borders>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 w:type="dxa"/>
            <w:vAlign w:val="bottom"/>
            <w:tcBorders>
              <w:left w:val="single" w:sz="8" w:color="auto"/>
            </w:tcBorders>
          </w:tcPr>
          <w:p>
            <w:pPr>
              <w:spacing w:after="0"/>
              <w:rPr>
                <w:sz w:val="20"/>
                <w:szCs w:val="20"/>
                <w:color w:val="auto"/>
              </w:rPr>
            </w:pPr>
          </w:p>
        </w:tc>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(6,516,279)</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43,918</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revaluation</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(727,500)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on accounts receivable</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(152,515)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(86,381)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(112,028)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(789,747)</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137,774</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(109,376)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(40,335)</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(3,989,840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(3,242,526</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0" w:type="dxa"/>
            <w:vAlign w:val="bottom"/>
            <w:tcBorders>
              <w:left w:val="single" w:sz="8" w:color="auto"/>
            </w:tcBorders>
          </w:tcPr>
          <w:p>
            <w:pPr>
              <w:spacing w:after="0"/>
              <w:rPr>
                <w:sz w:val="20"/>
                <w:szCs w:val="20"/>
                <w:color w:val="auto"/>
              </w:rPr>
            </w:pPr>
          </w:p>
        </w:tc>
        <w:tc>
          <w:tcPr>
            <w:tcW w:w="3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(1,604,766)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(3,560,000)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Construction-in-progress</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(1,453,915)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(3,058,681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(3,560,000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0" w:type="dxa"/>
            <w:vAlign w:val="bottom"/>
            <w:tcBorders>
              <w:left w:val="single" w:sz="8" w:color="auto"/>
            </w:tcBorders>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101,400,012</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(21,520,711)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(9,058,856)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8,014,286</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(135,500)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381,328,870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101,562,942</w:t>
            </w:r>
          </w:p>
        </w:tc>
        <w:tc>
          <w:tcPr>
            <w:tcW w:w="120" w:type="dxa"/>
            <w:vAlign w:val="bottom"/>
            <w:tcBorders>
              <w:bottom w:val="single" w:sz="8" w:color="CCEEFF"/>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tcBorders>
            <w:vMerge w:val="restart"/>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374,280,349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94,760,416</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577,533,949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123,267,673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tcBorders>
              <w:left w:val="single" w:sz="8" w:color="auto"/>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-5400040</wp:posOffset>
            </wp:positionV>
            <wp:extent cx="694372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-5108575</wp:posOffset>
            </wp:positionV>
            <wp:extent cx="694372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-4834255</wp:posOffset>
            </wp:positionV>
            <wp:extent cx="694372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-4559935</wp:posOffset>
            </wp:positionV>
            <wp:extent cx="694372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-4285615</wp:posOffset>
            </wp:positionV>
            <wp:extent cx="694372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-3994150</wp:posOffset>
            </wp:positionV>
            <wp:extent cx="694372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943725" cy="1543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-3702685</wp:posOffset>
            </wp:positionV>
            <wp:extent cx="694372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-3428365</wp:posOffset>
            </wp:positionV>
            <wp:extent cx="6943725"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-3136900</wp:posOffset>
            </wp:positionV>
            <wp:extent cx="694372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943725" cy="1625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-2819400</wp:posOffset>
            </wp:positionV>
            <wp:extent cx="694372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-2536825</wp:posOffset>
            </wp:positionV>
            <wp:extent cx="694372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-2228215</wp:posOffset>
            </wp:positionV>
            <wp:extent cx="694372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943725" cy="1543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-1936750</wp:posOffset>
            </wp:positionV>
            <wp:extent cx="694372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-1662430</wp:posOffset>
            </wp:positionV>
            <wp:extent cx="694372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-1379220</wp:posOffset>
            </wp:positionV>
            <wp:extent cx="694372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-1071245</wp:posOffset>
            </wp:positionV>
            <wp:extent cx="694372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-796290</wp:posOffset>
            </wp:positionV>
            <wp:extent cx="694372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943725" cy="14541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453"/>
        </w:trPr>
        <w:tc>
          <w:tcPr>
            <w:tcW w:w="160" w:type="dxa"/>
            <w:vAlign w:val="bottom"/>
            <w:tcBorders>
              <w:top w:val="single" w:sz="8" w:color="auto"/>
              <w:left w:val="single" w:sz="8" w:color="auto"/>
            </w:tcBorders>
          </w:tcPr>
          <w:p>
            <w:pPr>
              <w:spacing w:after="0"/>
              <w:rPr>
                <w:sz w:val="24"/>
                <w:szCs w:val="24"/>
                <w:color w:val="auto"/>
              </w:rPr>
            </w:pPr>
          </w:p>
        </w:tc>
        <w:tc>
          <w:tcPr>
            <w:tcW w:w="53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8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160" w:type="dxa"/>
            <w:vAlign w:val="bottom"/>
            <w:tcBorders>
              <w:left w:val="single" w:sz="8" w:color="auto"/>
            </w:tcBorders>
          </w:tcPr>
          <w:p>
            <w:pPr>
              <w:spacing w:after="0"/>
              <w:rPr>
                <w:sz w:val="20"/>
                <w:szCs w:val="20"/>
                <w:color w:val="auto"/>
              </w:rPr>
            </w:pPr>
          </w:p>
        </w:tc>
        <w:tc>
          <w:tcPr>
            <w:tcW w:w="5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vMerge w:val="restart"/>
          </w:tcPr>
          <w:p>
            <w:pPr>
              <w:spacing w:after="0"/>
              <w:rPr>
                <w:sz w:val="18"/>
                <w:szCs w:val="18"/>
                <w:color w:val="auto"/>
              </w:rPr>
            </w:pPr>
          </w:p>
        </w:tc>
        <w:tc>
          <w:tcPr>
            <w:tcW w:w="5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(40,067,076)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(10,151,556)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18,824,215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320,257</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96,532</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acquisition paid-in equity</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contingent liability</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(68,914)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(628,090)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(235,235)</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571,474</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(162,541)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Contingent liability</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770,500</w:t>
            </w:r>
          </w:p>
        </w:tc>
        <w:tc>
          <w:tcPr>
            <w:tcW w:w="120" w:type="dxa"/>
            <w:vAlign w:val="bottom"/>
            <w:tcBorders>
              <w:bottom w:val="single" w:sz="8" w:color="CCEEFF"/>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(19,621,963</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(8,464,146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vMerge w:val="restart"/>
          </w:tcPr>
          <w:p>
            <w:pPr>
              <w:spacing w:after="0"/>
              <w:rPr>
                <w:sz w:val="18"/>
                <w:szCs w:val="18"/>
                <w:color w:val="auto"/>
              </w:rPr>
            </w:pPr>
          </w:p>
        </w:tc>
        <w:tc>
          <w:tcPr>
            <w:tcW w:w="5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(9,075,045)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long-term investments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Borders>
              <w:left w:val="single" w:sz="8" w:color="auto"/>
            </w:tcBorders>
          </w:tcPr>
          <w:p>
            <w:pPr>
              <w:spacing w:after="0"/>
              <w:rPr>
                <w:sz w:val="19"/>
                <w:szCs w:val="19"/>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(8,449,332)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(17,524,377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vMerge w:val="restart"/>
          </w:tcPr>
          <w:p>
            <w:pPr>
              <w:spacing w:after="0"/>
              <w:rPr>
                <w:sz w:val="18"/>
                <w:szCs w:val="18"/>
                <w:color w:val="auto"/>
              </w:rPr>
            </w:pPr>
          </w:p>
        </w:tc>
        <w:tc>
          <w:tcPr>
            <w:tcW w:w="5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206,400,015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34,953,937</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(15,076,556)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(3,554,829)</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18,476,176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1,275,500</w:t>
            </w: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1,044,000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Borders>
              <w:left w:val="single" w:sz="8" w:color="auto"/>
            </w:tcBorders>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211,904,135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33,718,608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Borders>
              <w:left w:val="single" w:sz="8" w:color="auto"/>
            </w:tcBorders>
            <w:vMerge w:val="restart"/>
          </w:tcPr>
          <w:p>
            <w:pPr>
              <w:spacing w:after="0"/>
              <w:rPr>
                <w:sz w:val="18"/>
                <w:szCs w:val="18"/>
                <w:color w:val="auto"/>
              </w:rPr>
            </w:pPr>
          </w:p>
        </w:tc>
        <w:tc>
          <w:tcPr>
            <w:tcW w:w="5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174,757,795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21,554,462</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6,952,795</w:t>
            </w:r>
          </w:p>
        </w:tc>
        <w:tc>
          <w:tcPr>
            <w:tcW w:w="120" w:type="dxa"/>
            <w:vAlign w:val="bottom"/>
            <w:tcBorders>
              <w:bottom w:val="single" w:sz="8" w:color="CCEEFF"/>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tcBorders>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203,265,052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28,507,257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left w:val="single" w:sz="8" w:color="auto"/>
            </w:tcBorders>
            <w:vMerge w:val="restart"/>
          </w:tcPr>
          <w:p>
            <w:pPr>
              <w:spacing w:after="0"/>
              <w:rPr>
                <w:sz w:val="17"/>
                <w:szCs w:val="17"/>
                <w:color w:val="auto"/>
              </w:rPr>
            </w:pPr>
          </w:p>
        </w:tc>
        <w:tc>
          <w:tcPr>
            <w:tcW w:w="5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Supplemental Disclosures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Borders>
              <w:left w:val="single" w:sz="8" w:color="auto"/>
            </w:tcBorders>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Inception of Right-of-Use Asset / Lease Liability</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1,026,348</w:t>
            </w: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1,926,178</w:t>
            </w: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60" w:type="dxa"/>
            <w:vAlign w:val="bottom"/>
            <w:tcBorders>
              <w:left w:val="single" w:sz="8" w:color="auto"/>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-5640070</wp:posOffset>
            </wp:positionV>
            <wp:extent cx="694372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-5365750</wp:posOffset>
            </wp:positionV>
            <wp:extent cx="694372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-5091430</wp:posOffset>
            </wp:positionV>
            <wp:extent cx="694372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-4817110</wp:posOffset>
            </wp:positionV>
            <wp:extent cx="694372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-4542790</wp:posOffset>
            </wp:positionV>
            <wp:extent cx="694372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-4268470</wp:posOffset>
            </wp:positionV>
            <wp:extent cx="694372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-3994150</wp:posOffset>
            </wp:positionV>
            <wp:extent cx="694372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-3719830</wp:posOffset>
            </wp:positionV>
            <wp:extent cx="694372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-3428365</wp:posOffset>
            </wp:positionV>
            <wp:extent cx="694372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-3145155</wp:posOffset>
            </wp:positionV>
            <wp:extent cx="694372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-2870835</wp:posOffset>
            </wp:positionV>
            <wp:extent cx="6943725"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-2579370</wp:posOffset>
            </wp:positionV>
            <wp:extent cx="6943725"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-2296795</wp:posOffset>
            </wp:positionV>
            <wp:extent cx="694372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-2022475</wp:posOffset>
            </wp:positionV>
            <wp:extent cx="694372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-1748155</wp:posOffset>
            </wp:positionV>
            <wp:extent cx="694372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-1456690</wp:posOffset>
            </wp:positionV>
            <wp:extent cx="6943725"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943725"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-1173480</wp:posOffset>
            </wp:positionV>
            <wp:extent cx="694372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-864870</wp:posOffset>
            </wp:positionV>
            <wp:extent cx="694372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6943725" cy="1543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-573405</wp:posOffset>
            </wp:positionV>
            <wp:extent cx="694372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r>
    </w:p>
    <w:p>
      <w:pPr>
        <w:sectPr>
          <w:pgSz w:w="11900" w:h="16838" w:orient="portrait"/>
          <w:cols w:equalWidth="0" w:num="1">
            <w:col w:w="11240"/>
          </w:cols>
          <w:pgMar w:left="320" w:top="71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securities is speculative and involves a high degree of risk. </w:t>
      </w:r>
      <w:r>
        <w:rPr>
          <w:rFonts w:ascii="Times New Roman" w:cs="Times New Roman" w:eastAsia="Times New Roman" w:hAnsi="Times New Roman"/>
          <w:sz w:val="18"/>
          <w:szCs w:val="18"/>
          <w:color w:val="auto"/>
        </w:rPr>
        <w:t>Before deciding whether to invest in our securities, you should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carefully consider the risk factors included in our 2025 Annual Report on Form 10-K, subsequent Quarterly Reports on Form 10-Q, any current reports on Form 8-K, together with any applicable prospectus supplements and any related free writing prospectuses, as well as any other documents incorporated by reference in this prospectus or such prospectus supplements. You should also carefully consider other information contained or incorporated by reference in this prospectus or any applicable prospectus supplements, including our financial statements and the related notes thereto incorporated by reference in this prospectus. See “Incorporation of Certain Information by Reference” for more information on the filings (including the risk factors) which are incorporated herein by reference. The risks and uncertainties described in any applicable prospectus supplements and our other filings with the SEC incorporated by reference in this prospectus and such prospectus supplements are not the only ones we face. Additional risks and uncertainties not presently known to us or that we currently consider immaterial could also adversely affect us. If any of risks we describe occur, our business, financial condition or results of operations could be materially harmed. In such case, the value of our securities could decline and you may lose some or all of your investment. Please also carefully consider the section entitled “Cautionary Note Regarding Forward-Looking Statements.”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Without limiting the generality of the foregoing, readers should note that in this prospectus and the documents incorporated herein by reference, we provide our current estimated timelines for advancing and commercially launching our business lines. Based on our management’s experience and expertise, we believe we have a sufficient basis to provide reasonable timing estimates, and our expectation is that we will meet such timing for our proposed business lines. However, readers are cautioned there can be no assurance that we will meet our anticipated timelines, as our business operations are subject to the completion of ongoing technical, regulatory, and operational preparations, which are inherently uncertain and risky given the nature of our business and may be affected by factors beyond our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these sales for the advancement and development of our technologies, particularly our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 general working capital and general corporate purposes. These purposes may include, from time to time, investing in or acquiring businesses, assets, or technologies that are complementary to our business strategy. As of the date of this prospectus, unless otherwise provided in this prospectus related to the GFPL Purchase Agreement, as more fully described under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on page 1, we have not entered into any other definitive agreements or commitments with respect to any such acquisitions.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amounts and timing of these expenditures, as well as the specific uses thereof, are not presently determinable and will depend on numerous factors, including the market price of our securities at the time of sale, actual proceeds received, the development of our current business initiatives and our evolving business needs. Our management will have broad discretion to allocate the net proceeds, if any, we receive in connection with securities offered pursuant to this prospectus for any purpose. Pending use of the net proceeds, we intend to invest the net proceeds in short-term, interest-bearing, investment-grade securities or in cash or money market funds.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in the foreseeable future. The payment of dividends, if any, in the future is within the discretion of our board of directors and will depend on our earnings, capital requirements and financial condition and other relevant facts. We currently intend to retain all future earnings, if any, to finance the development and growth of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describes the general terms of our securities. The following description is not complete and may not contain all the information you should consider before investing in our securities. For a more detailed description of these securities, you should read the applicable provisions of Nevada law and our amended articles of incorporation, referred to herein as our charter, and our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300,000,000 shares, par value $0.0001 per share, consisting of: 275,000,000 shares of common stock and 25,000,000 shares of preferred stock, all of which are currently undesignated.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directly or through agents, dealers or underwriters designated from time to time, may offer, issue and sell, together or separately, up to $900,000,000 in the aggregate of:</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include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exchangeable for or convertible into shares of common stock, preferred stock or other securities that may be sold by us pursuant to this prospectus, or any combination of the foregoing. The preferred stock may also be exchangeable for or convertible into shares of common stock, another series of preferred stock or other securities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6, 2026, there were 52,083,194 shares of common stock issued and outstanding. Additionally, as of March 6, 2026, there were 2,985,750 shares of common stock issuable upon exercise of outstanding warrants, 1,984,000 shares of common stock issuable upon exercise of outstanding stock options, and 757,014 shares of common stock issuable upon vesting of restricted stock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charter provides that each holder of common stock shall have the right to one (1) vote per share of common stock held of record by such holder as of the applicable record date on all matters submitted to a vote at any meeting of stockholders. The holders of outstanding shares of common stock are entitled to receive dividends out of assets or funds legally available for the payment of dividends of such times and in such amounts as our board of directors from time to time may determine. Our common stock is not entitled to pre-emptive rights and is not subject to redemption. Upon liquidation, dissolution or winding up of our company, the assets legally available for distribution to stockholders are distributable ratably among the holders of our common stock after payment of liquidation preferences, if any, on any outstanding payment of other claims of creditors. The rights, preferences and privileges of holders of common stock are subject to and may be adversely affected by the rights of the holders of shares of any series of preferred stock that we may designate and issue in the future. Our common stock is listed on Nasdaq under the trading symbol “NNE.” The transfer agent and registrar for our common stock is VStock Transfer, LLC, 18 Lafayette Place, Woodmere, NY 11598.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6, 2026, we had zero shares of preferred stock designated. Pursuant to our charter, our undesignated shares of preferred stock are “blank check” preferred stock, which means that our board of directors is authorized, without further action by the stockholders, to establish one or more class or series, and fix the relative rights and preferences of our undesignated preferred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spacing w:after="0" w:line="183"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limitations on our ability to declare, set aside or pay any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offer shares of preferred stock under this prospectus, after receipt of payment therefor, the shares will be fully paid and non-assessable.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Nevada corporation law provides that the holders of preferred stock will have the right to vote separately as a class on any proposal involving fundamental changes in the rights of holders of that preferred stock. This right is in addition to any voting rights provided for in the applicable certificate of designation.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purchase contracts, representing contracts obligating holders to purchase from us, and us to sell to the holders, a specific or varying number of common stock, preferred stock, warrants, subscription rights, depositary shares, debt securities, or any combination of the above, at a future date or dates. Alternatively, the purchase contracts may obligate us to purchase from holders, and obligate holders to sell to us, a specific or varying number of common stock, preferred stock, warrants, subscription rights, depositary shares, debt securities, or any combination of the above. The price of the securities and other property subject to the purchase contracts may be fixed at the time the purchase contracts are issued or may be determined by reference to a specific formula set forth in the purchase contracts. The purchase contracts may be issued separately or as a part of a unit that consists of (a) a purchase contract and (b) one or more of the other securities that may be sold by us pursuant to this prospectus or any combination of the foregoing, which may secure the holders’ obligations to purchase the securities under the purchase contract. The purchase contracts may require us to make periodic payments to the holders or require the holders to make periodic payments to us. These payments may be unsecured or prefunded and may be paid on a current or on a deferred basis. The purchase contracts may require holders to secure their obligations under the contracts in a manner specified in the applicable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purchase contracts and purchase contract agreements, if any. The applicable prospectus supplement will describe the terms of any purchase contracts in respect of which this prospectus is being delivered, including, to the extent applicable,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 traded, each series of such warrants will be issued under a separate warrant agreement to be entered into between us and a warrant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warrants and warrant agreements, if any. The prospectus supplement relating to any warrants that we may offer will contain the specific terms of the warrants and a description of the material provisions of the applicable warrant agreement, if any. These terms may include the following:</w:t>
      </w:r>
    </w:p>
    <w:p>
      <w:pPr>
        <w:spacing w:after="0" w:line="180"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or other rights for which the warrants are exercisable;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to be issued and the number of warrants issued with each other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or other rights purchasable upon exercise of the warrants may be purchased;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or other rights purchasable upon exercise of the warrants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that may be exercised at any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warrant will entitle the holder of warrants to purchase the amount of securities or other rights,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securities, a prospectus supplement will be distributed to such holders on the record date set by us for receiving rights in the rights offering.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subscription rights, standby underwriting agreements or other agreements, if any. The prospectus supplement relating to any rights that we offer will include specific terms relating to the offering, including, among other matters:</w:t>
      </w:r>
    </w:p>
    <w:p>
      <w:pPr>
        <w:spacing w:after="0" w:line="176"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the security holders entitled to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the principal amount of securities at the exercise price, if any,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if any,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may offer fractional shares of preferred stock, rather than full shares of preferred stock. If we decide to offer fractional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agreements, forms of the certificates of designation of the underlying preferred stock, forms of depositary receipts and any other related agreements.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Dividends and Other Distributions</w:t>
      </w:r>
      <w:r>
        <w:rPr>
          <w:rFonts w:ascii="Times New Roman" w:cs="Times New Roman" w:eastAsia="Times New Roman" w:hAnsi="Times New Roman"/>
          <w:sz w:val="18"/>
          <w:szCs w:val="18"/>
          <w:color w:val="auto"/>
        </w:rPr>
        <w:t>. The depositary will distribute all cash dividends or other cash distributions received by it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to the record holders of depositary shares relating to such preferred shares in proportion to the number of depositary shares held on the relevant record date.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securities or property received by it to the record holders of depositary shares in proportion to the number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Redemption of Depositary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we redeem the preferred stock, the depositary will redeem a number of depositary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Voting of Underlying Shares</w:t>
      </w:r>
      <w:r>
        <w:rPr>
          <w:rFonts w:ascii="Times New Roman" w:cs="Times New Roman" w:eastAsia="Times New Roman" w:hAnsi="Times New Roman"/>
          <w:sz w:val="18"/>
          <w:szCs w:val="18"/>
          <w:color w:val="auto"/>
        </w:rPr>
        <w:t>. Upon receipt of notice of any meeting at which the holders of our preferred stock of any series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Withdrawal of Shares</w:t>
      </w:r>
      <w:r>
        <w:rPr>
          <w:rFonts w:ascii="Times New Roman" w:cs="Times New Roman" w:eastAsia="Times New Roman" w:hAnsi="Times New Roman"/>
          <w:sz w:val="18"/>
          <w:szCs w:val="18"/>
          <w:color w:val="auto"/>
        </w:rPr>
        <w:t>. Upon surrender of depositary receipts representing any number of whole shares at the depositary’s office, unless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Amendment and Termination of Depositary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depositary receipt evidencing the depositary shares and any provision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agreement may be terminated by us or the depositary if:</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to us notice of its election to do so. We may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depositary at any time. Any resignation or removal will take effect upon the appointment of a successor depositary and its acceptance of appointment.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any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Each depositary will forward to the holders of the applicable depositary shares all notices, reports and communications from us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such depositary and which we are required to furnish the holders of the preferred stock represented by such depositary shares.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depositary agreement may contain provisions that limit our liability and the liability of the depositary to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be either senior debt securities, senior subordinated debt securities or subordinated debt securities. We may also issue convertible debt securities. Debt securities may be issued under an indenture, which is a contract entered into between us and a trustee to be named therein. We will file as exhibits to the registration statement of which this prospectus is a part, or will incorporate by reference from a current report on Form 8-K that we file with the SEC, the indentures or other agreements, if any. We may issue debt securities and incur indebtedness other than through the offering of debt securities pursuant to this prospectus. Convertible debt securities may not be issued under an indenture.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These terms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attachment to the debt securities of warrants, options or other rights to purchase or sell our securities;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ind w:left="324" w:hanging="324"/>
        <w:spacing w:after="0" w:line="282"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secured by any collateral and, if so, a general description of the collateral and the terms and provisions of such collateral security, pledge or other agreements;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securities or property;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5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15" w:right="339" w:bottom="1440" w:gutter="0" w:footer="0" w:header="0"/>
        </w:sectPr>
      </w:pPr>
    </w:p>
    <w:bookmarkStart w:id="73" w:name="page74"/>
    <w:bookmarkEnd w:id="73"/>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 by depositing money or U.S. government obligations with the trustee;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4" w:name="page75"/>
    <w:bookmarkEnd w:id="74"/>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Registered Global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subscription rights or depositary shares. In addition, the manner in which we may sell some or all of the securities covered by this prospectus includes, without limitation, through:</w:t>
      </w:r>
    </w:p>
    <w:p>
      <w:pPr>
        <w:spacing w:after="0" w:line="180" w:lineRule="exact"/>
        <w:rPr>
          <w:sz w:val="20"/>
          <w:szCs w:val="20"/>
          <w:color w:val="auto"/>
        </w:rPr>
      </w:pPr>
    </w:p>
    <w:p>
      <w:pPr>
        <w:ind w:left="1000" w:right="20" w:hanging="344"/>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will attempt to sell as agent, but may position or resell a portion of the block as principal in order to facilitate the transaction;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with respect to each series of securities will describe the terms of the offering, including, to the extent applicable:</w:t>
      </w:r>
    </w:p>
    <w:p>
      <w:pPr>
        <w:spacing w:after="0" w:line="162" w:lineRule="exact"/>
        <w:rPr>
          <w:sz w:val="20"/>
          <w:szCs w:val="20"/>
          <w:color w:val="auto"/>
        </w:rPr>
      </w:pPr>
    </w:p>
    <w:p>
      <w:pPr>
        <w:ind w:left="1000" w:hanging="344"/>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and terms of the securities being offered;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or agents and the amounts of securities underwritten or purchased by each of them, if any;</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or other consideration therefor, and the proceeds to be received by us from the sale;</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requirements;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62" w:lineRule="exact"/>
        <w:rPr>
          <w:sz w:val="20"/>
          <w:szCs w:val="20"/>
          <w:color w:val="auto"/>
        </w:rPr>
      </w:pPr>
    </w:p>
    <w:p>
      <w:pPr>
        <w:ind w:left="1000" w:hanging="344"/>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“at-the-market” offering within the meaning of Rule 415(a)(4) of the Securities Act of 1933, as amended, or the Securities Act;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underwriters named in a prospectus supplement will be underwriters of the securities offered by such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Underwriters and Agents; 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to dealers as principals. The dealer may then resell such securities to the public either at varying prices to be determined by the dealer or at a fixed offering price agreed to with us at the time of resale.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for the solicitations.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Other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These may include commercial banking and investment banking transactions, among other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Market-Making; Stabilization and Other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currently no market for any of the offered securities, other than our common stock, which is quoted on Nasdaq.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any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syndicate-covering or other short-covering transactions and penalty bids in accordance with Regulation M under the Securities Exchange Act of 1934, as amended, or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these activities at any time.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underwriters or agents that are qualified market makers on Nasdaq may engage in passive market making transactions in our common stock on Nasdaq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certain of the securities offered by this prospectus is being passed upon for us by Parsons Behle &amp; Latimer, Reno, Nevada. The validity of certain other securities offered by this prospectus is being passed upon for us by Ellenoff Grossman &amp; Schole LLP, New York, New York. If legal matters in connection with offerings made by this prospectus are passed on by counsel for the underwriters, dealers or agents, if any, then such counsel will be named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Nano Nuclear Energy, Inc. and its consolidated subsidiaries, as of and for the fiscal years ended September 30, 2025 and 2024, incorporated in this prospectus by reference to our 2025 Annual Report on Form 10-K for the fiscal year ended September 30, 2025, have been so incorporated in reliance on the report of WithumSmith+Brown, PC, an independent registered public accounting firm, given on the authority of said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is part of the registration statement on Form S-3 that we have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to the exhibits to the reports or other documents incorporated by reference in this prospectus, for a copy of such contract, agreement or other document. We file annual, quarterly and periodic reports, proxy statements and other information with the SEC, using its EDGAR system. The SEC provides free public access, through its website, to items publicly filed in the EDGAR system, including our items. The address of the SEC’s website is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www.nanonuclearenergy.com</w:t>
      </w:r>
      <w:r>
        <w:rPr>
          <w:rFonts w:ascii="Times New Roman" w:cs="Times New Roman" w:eastAsia="Times New Roman" w:hAnsi="Times New Roman"/>
          <w:sz w:val="18"/>
          <w:szCs w:val="18"/>
          <w:color w:val="auto"/>
        </w:rPr>
        <w:t>.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have filed or will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under Sections 13(a), 13(c), 14 or 15(d) of the Exchange Act (1) after the date of the initial registration statement, as amended, and prior to effectiveness of the registration statement, and (2) after the date of this prospectus and prior to the termination of this offering, from their respective filing dates (other than any portions thereof, which under the Exchange Act, and applicable SEC rules, are not deemed “filed” under the Exchange Act). Such information will automatically update and supersede the information contained in this prospectus and the documents listed below:</w:t>
      </w:r>
    </w:p>
    <w:p>
      <w:pPr>
        <w:spacing w:after="0" w:line="192" w:lineRule="exact"/>
        <w:rPr>
          <w:sz w:val="20"/>
          <w:szCs w:val="20"/>
          <w:color w:val="auto"/>
        </w:rPr>
      </w:pPr>
    </w:p>
    <w:p>
      <w:pPr>
        <w:ind w:left="840" w:hanging="184"/>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December 18, 2025 (the “2025 Annual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89">
        <w:r>
          <w:rPr>
            <w:rFonts w:ascii="Times New Roman" w:cs="Times New Roman" w:eastAsia="Times New Roman" w:hAnsi="Times New Roman"/>
            <w:sz w:val="18"/>
            <w:szCs w:val="18"/>
            <w:u w:val="single" w:color="auto"/>
            <w:color w:val="0000EE"/>
          </w:rPr>
          <w:t>October 10, 2025</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auto"/>
        </w:rPr>
        <w:t xml:space="preserve">, and </w:t>
      </w:r>
      <w:hyperlink r:id="rId91">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 respectively (excluding any information therein disclosed under Items 2.02 or 7.01 or any corresponding information furnished under Item 9.01 or included as an exhibit);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(“Quarterly Report”) on </w:t>
      </w:r>
      <w:hyperlink r:id="rId9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17, 2026; and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of common stock contained in our registration statement on </w:t>
      </w:r>
      <w:hyperlink r:id="rId93">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May 6, 2024.</w:t>
      </w:r>
    </w:p>
    <w:p>
      <w:pPr>
        <w:spacing w:after="0" w:line="225"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all documents and/or reports that we file with the SEC pursuant to Sections 13(a), 13(c), 14, and 15(d) of the Exchange Act subsequent to the date of the registration statement of which this prospectus is a part, and prior to the termination or completion of any applicable offering of securities under this prospectus or the filing of a post-effective amendment to such registration statement that indicates that all securities offered under this prospectus have been sold, or that deregisters all securities then remaining unsold, will be deemed to be incorporated herein by reference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none of the information that we disclose under Items 2.02 or 7.01 of any Current Report on Form 8-K, or any corresponding information furnished under Item 9.01 or included as an exhibit, that we may from time to time furnish to the SEC, will be incorporated by reference in,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80"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request, orally or in writing, a copy of the documents we incorporate by reference, which will be provided to you at no cost (other than exhibits, unless such exhibits are specifically incorporated by reference), by contacting our Secretary, c/o Nano Nuclear Energy Inc. at 10 Times Square, 30th Floor, New York, NY 10018. Our telephone number is (212) 634-9206.</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2197100</wp:posOffset>
            </wp:positionH>
            <wp:positionV relativeFrom="page">
              <wp:posOffset>448945</wp:posOffset>
            </wp:positionV>
            <wp:extent cx="3154680" cy="917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315468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$900,000,000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PURCHASE CONTRACTS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Roman"/>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20"/>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amp;"/>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Roman"/>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jpeg"/><Relationship Id="rId96" Type="http://schemas.openxmlformats.org/officeDocument/2006/relationships/image" Target="media/image83.png"/><Relationship Id="rId97" Type="http://schemas.openxmlformats.org/officeDocument/2006/relationships/image" Target="media/image84.jpe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jpeg"/><Relationship Id="rId208" Type="http://schemas.openxmlformats.org/officeDocument/2006/relationships/image" Target="media/image195.png"/><Relationship Id="rId88" Type="http://schemas.openxmlformats.org/officeDocument/2006/relationships/hyperlink" Target="https://www.sec.gov/Archives/edgar/data/1923891/000149315225028285/form10-k.htm" TargetMode="External"/><Relationship Id="rId89" Type="http://schemas.openxmlformats.org/officeDocument/2006/relationships/hyperlink" Target="https://www.sec.gov/Archives/edgar/data/1923891/000149315225017769/form8-k.htm" TargetMode="External"/><Relationship Id="rId90" Type="http://schemas.openxmlformats.org/officeDocument/2006/relationships/hyperlink" Target="https://www.sec.gov/Archives/edgar/data/1923891/000149315225018872/form8-k.htm" TargetMode="External"/><Relationship Id="rId91" Type="http://schemas.openxmlformats.org/officeDocument/2006/relationships/hyperlink" Target="https://www.sec.gov/Archives/edgar/data/1923891/000149315226005308/form8-k.htm" TargetMode="External"/><Relationship Id="rId92" Type="http://schemas.openxmlformats.org/officeDocument/2006/relationships/hyperlink" Target="https://www.sec.gov/Archives/edgar/data/1923891/000149315226007105/form10-q.htm" TargetMode="External"/><Relationship Id="rId93" Type="http://schemas.openxmlformats.org/officeDocument/2006/relationships/hyperlink" Target="https://www.sec.gov/Archives/edgar/data/1923891/000149315224017913/form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2026-03-13T15:50:17Z</dcterms:created>
  <dcterms:modified xsi:type="dcterms:W3CDTF">2026-03-13T15:50:17Z</dcterms:modified>
</cp:coreProperties>
</file>