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Berl Seth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9,536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October 1, 2026 ("Grant Date") under the Issuer's 2025 Equity Incentive Plan ("2025 Plan") based on a value per RSU of $15.73, the closing price of the Issuer's common stock as reported on The Nasdaq Capital Market on October 1, 2026. Each RSU represents the right to receive one share of the Issuer's common stock, subject to the terms and conditions set forth in the award of such RSUs by the Issuer to the Reporting Person pursuant to a Restricted Stock Unit Award Agreement and the 2025 Plan. The RSUs shall vest on the first anniversary of the Grant Date, subject to the Reporting Person's continued service with the Issuer through the vesting date. Any applicable fraction of an RSU that would otherwise be vested will be accumulated and will vest only when a whole RSU has accumulated.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Berl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226"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3767</Characters>
  <CharactersWithSpaces>4411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