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91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September 17, 2026 (September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Nano Nuclear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30" w:type="dxa"/>
        <w:jc w:val="left"/>
        <w:tblInd w:w="0" w:type="dxa"/>
        <w:tblLayout w:type="fixed"/>
        <w:tblCellMar>
          <w:top w:w="0" w:type="dxa"/>
          <w:left w:w="0" w:type="dxa"/>
          <w:bottom w:w="28" w:type="dxa"/>
          <w:right w:w="0" w:type="dxa"/>
        </w:tblCellMar>
      </w:tblPr>
      <w:tblGrid>
        <w:gridCol w:w="2270"/>
        <w:gridCol w:w="60"/>
        <w:gridCol w:w="1175"/>
        <w:gridCol w:w="60"/>
        <w:gridCol w:w="1565"/>
      </w:tblGrid>
      <w:tr>
        <w:trPr/>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FileNumber_c20260917"/>
            <w:bookmarkEnd w:id="6"/>
            <w:r>
              <w:rPr>
                <w:rFonts w:ascii="Times New Roman;Times;Serif" w:hAnsi="Times New Roman;Times;Serif"/>
                <w:b/>
                <w:i w:val="false"/>
                <w:caps w:val="false"/>
                <w:smallCaps w:val="false"/>
                <w:sz w:val="20"/>
              </w:rPr>
              <w:t>001-42044</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D_edei--EntityTaxIdentificationNum"/>
            <w:bookmarkEnd w:id="7"/>
            <w:r>
              <w:rPr>
                <w:rFonts w:ascii="Times New Roman;Times;Serif" w:hAnsi="Times New Roman;Times;Serif"/>
                <w:b/>
                <w:i w:val="false"/>
                <w:caps w:val="false"/>
                <w:smallCaps w:val="false"/>
                <w:sz w:val="20"/>
              </w:rPr>
              <w:t>88-0861977</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10 Times Square, </w:t>
      </w:r>
      <w:bookmarkStart w:id="9" w:name="xdx_901_edei--EntityAddressAddressLine2_"/>
      <w:bookmarkEnd w:id="9"/>
      <w:r>
        <w:rPr>
          <w:rFonts w:ascii="Times New Roman;Times;Serif" w:hAnsi="Times New Roman;Times;Serif"/>
          <w:b/>
          <w:i w:val="false"/>
          <w:caps w:val="false"/>
          <w:smallCaps w:val="false"/>
          <w:sz w:val="20"/>
        </w:rPr>
        <w:t>30</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New York, </w:t>
      </w:r>
      <w:bookmarkStart w:id="11" w:name="xdx_900_edei--EntityAddressStateOrProvin"/>
      <w:bookmarkEnd w:id="11"/>
      <w:r>
        <w:rPr>
          <w:rFonts w:ascii="Times New Roman;Times;Serif" w:hAnsi="Times New Roman;Times;Serif"/>
          <w:b/>
          <w:i w:val="false"/>
          <w:caps w:val="false"/>
          <w:smallCaps w:val="false"/>
          <w:sz w:val="20"/>
        </w:rPr>
        <w:t xml:space="preserve">New York </w:t>
      </w:r>
      <w:bookmarkStart w:id="12" w:name="xdx_904_edei--EntityAddressPostalZipCode"/>
      <w:bookmarkEnd w:id="12"/>
      <w:r>
        <w:rPr>
          <w:rFonts w:ascii="Times New Roman;Times;Serif" w:hAnsi="Times New Roman;Times;Serif"/>
          <w:b/>
          <w:i w:val="false"/>
          <w:caps w:val="false"/>
          <w:smallCaps w:val="false"/>
          <w:sz w:val="20"/>
        </w:rPr>
        <w:t>10018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3_edei--CityAreaCode_c20260917__20"/>
      <w:bookmarkEnd w:id="13"/>
      <w:r>
        <w:rPr>
          <w:rFonts w:ascii="Times New Roman;Times;Serif" w:hAnsi="Times New Roman;Times;Serif"/>
          <w:b/>
          <w:i w:val="false"/>
          <w:caps w:val="false"/>
          <w:smallCaps w:val="false"/>
          <w:sz w:val="20"/>
        </w:rPr>
        <w:t xml:space="preserve">(212) </w:t>
      </w:r>
      <w:bookmarkStart w:id="14" w:name="xdx_90F_edei--LocalPhoneNumber_c20260917"/>
      <w:bookmarkEnd w:id="14"/>
      <w:r>
        <w:rPr>
          <w:rFonts w:ascii="Times New Roman;Times;Serif" w:hAnsi="Times New Roman;Times;Serif"/>
          <w:b/>
          <w:i w:val="false"/>
          <w:caps w:val="false"/>
          <w:smallCaps w:val="false"/>
          <w:sz w:val="20"/>
        </w:rPr>
        <w:t>634-9206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8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4_edei--SolicitingMaterial_c202609"/>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B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8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Security12bTitle_c20260917"/>
            <w:bookmarkEnd w:id="19"/>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TradingSymbol_c20260917__2"/>
            <w:bookmarkEnd w:id="20"/>
            <w:r>
              <w:rPr>
                <w:rFonts w:ascii="Times New Roman;Times;Serif" w:hAnsi="Times New Roman;Times;Serif"/>
                <w:b w:val="false"/>
                <w:i w:val="false"/>
                <w:caps w:val="false"/>
                <w:smallCaps w:val="false"/>
                <w:sz w:val="20"/>
              </w:rPr>
              <w:t>NNE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F_edei--SecurityExchangeName_c2026"/>
            <w:bookmarkEnd w:id="21"/>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7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2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Nano Nuclear Energy Inc. (the “Company”) conducted its 2026 Annual Meeting of Stockholders (the “Annual Meeting”). The Annual Meeting was conducted virtually.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of the Company entitled to vote at the Annual Meeting was 53,698,147.29 shares outstanding as of the July 22, 2026 record date (“Record Date”) for the Annual Meeting (the “Voting Stock”). After the Record Date, the total shares outstanding was changed to 53,698,146, effective as of July 23, 2026 due to the cancellation of the fractional shares. No other shares of the Company’s capital stock were entitled to vote at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Voting Stock present or represented by valid proxy at the Annual Meeting was approximately 36,425,627 shares of Voting Stock, constituting a quorum. At the Annual Meeting, the Company’s stockholders adopted all two proposals presented at the Annual Meeting for voting, which included: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all six (6) currently serving members of the Company’s Board of Directors to serve for a one-year term that expires at the 2027 Annual Meeting of Stockholders, or until their successor is duly elected and qualified, unless they resign, is removed or otherwise is disqualified from serving as a director of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9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appointment by the Audit Committee of the Company’s Board of Directors of WithumSmith+Brown, PC (“Withum”) as the Company’s independent registered public accounting firm for the fiscal year ending September 30, 2026.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tabulation of the voting on the proposals presented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Proposal No. 1 - 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Walker, Jay Jiang Yu, Dr, Tsun Yee Law, Diane Hare, Dr. Kenny Yu and Dr. Seth Berl were each elected as a director to serve for a one-year term that expires at the Company’s 2027 Annual Meeting of Stockholders or until a successor is elected and qualified or until her or his earlier death, incapacity, removal or resignation. The voting results were as follows:</w:t>
      </w:r>
    </w:p>
    <w:p>
      <w:pPr>
        <w:pStyle w:val="TextBody"/>
        <w:bidi w:val="0"/>
        <w:spacing w:before="0" w:after="0"/>
        <w:ind w:left="0" w:right="0" w:hanging="0"/>
        <w:jc w:val="left"/>
        <w:rPr>
          <w:caps w:val="false"/>
          <w:smallCaps w:val="false"/>
        </w:rPr>
      </w:pPr>
      <w:r>
        <w:rPr>
          <w:caps w:val="false"/>
          <w:smallCaps w:val="false"/>
        </w:rPr>
        <w:t> </w:t>
      </w:r>
    </w:p>
    <w:tbl>
      <w:tblPr>
        <w:tblW w:w="7370" w:type="dxa"/>
        <w:jc w:val="left"/>
        <w:tblInd w:w="0" w:type="dxa"/>
        <w:tblLayout w:type="fixed"/>
        <w:tblCellMar>
          <w:top w:w="0" w:type="dxa"/>
          <w:left w:w="0" w:type="dxa"/>
          <w:bottom w:w="28" w:type="dxa"/>
          <w:right w:w="0" w:type="dxa"/>
        </w:tblCellMar>
      </w:tblPr>
      <w:tblGrid>
        <w:gridCol w:w="1835"/>
        <w:gridCol w:w="60"/>
        <w:gridCol w:w="1820"/>
        <w:gridCol w:w="60"/>
        <w:gridCol w:w="1715"/>
        <w:gridCol w:w="60"/>
        <w:gridCol w:w="1820"/>
      </w:tblGrid>
      <w:tr>
        <w:trPr/>
        <w:tc>
          <w:tcPr>
            <w:tcW w:w="1835" w:type="dxa"/>
            <w:tcBorders>
              <w:bottom w:val="single" w:sz="8" w:space="0" w:color="000000"/>
            </w:tcBorders>
            <w:vAlign w:val="center"/>
          </w:tcPr>
          <w:p>
            <w:pPr>
              <w:pStyle w:val="TableContents"/>
              <w:bidi w:val="0"/>
              <w:spacing w:before="0" w:after="283"/>
              <w:jc w:val="left"/>
              <w:rPr>
                <w:b/>
              </w:rPr>
            </w:pPr>
            <w:r>
              <w:rPr>
                <w:b/>
              </w:rPr>
              <w:t>Nominee</w:t>
            </w:r>
          </w:p>
        </w:tc>
        <w:tc>
          <w:tcPr>
            <w:tcW w:w="60" w:type="dxa"/>
            <w:tcBorders/>
            <w:tcMar>
              <w:bottom w:w="0" w:type="dxa"/>
            </w:tcMar>
            <w:vAlign w:val="center"/>
          </w:tcPr>
          <w:p>
            <w:pPr>
              <w:pStyle w:val="TableContents"/>
              <w:bidi w:val="0"/>
              <w:spacing w:before="0" w:after="283"/>
              <w:jc w:val="left"/>
              <w:rPr/>
            </w:pPr>
            <w:r>
              <w:rPr/>
              <w:t> </w:t>
            </w:r>
          </w:p>
        </w:tc>
        <w:tc>
          <w:tcPr>
            <w:tcW w:w="1820" w:type="dxa"/>
            <w:tcBorders>
              <w:bottom w:val="single" w:sz="8" w:space="0" w:color="000000"/>
            </w:tcBorders>
            <w:vAlign w:val="center"/>
          </w:tcPr>
          <w:p>
            <w:pPr>
              <w:pStyle w:val="TableContents"/>
              <w:bidi w:val="0"/>
              <w:spacing w:before="0" w:after="283"/>
              <w:jc w:val="center"/>
              <w:rPr>
                <w:b/>
              </w:rPr>
            </w:pPr>
            <w:r>
              <w:rPr>
                <w:b/>
              </w:rPr>
              <w:t>Shares Voted For</w:t>
            </w:r>
          </w:p>
        </w:tc>
        <w:tc>
          <w:tcPr>
            <w:tcW w:w="60" w:type="dxa"/>
            <w:tcBorders/>
            <w:tcMar>
              <w:bottom w:w="0" w:type="dxa"/>
            </w:tcMar>
            <w:vAlign w:val="center"/>
          </w:tcPr>
          <w:p>
            <w:pPr>
              <w:pStyle w:val="TableContents"/>
              <w:bidi w:val="0"/>
              <w:spacing w:before="0" w:after="283"/>
              <w:jc w:val="left"/>
              <w:rPr/>
            </w:pPr>
            <w:r>
              <w:rPr/>
              <w:t> </w:t>
            </w:r>
          </w:p>
        </w:tc>
        <w:tc>
          <w:tcPr>
            <w:tcW w:w="1715" w:type="dxa"/>
            <w:tcBorders>
              <w:bottom w:val="single" w:sz="8" w:space="0" w:color="000000"/>
            </w:tcBorders>
            <w:vAlign w:val="center"/>
          </w:tcPr>
          <w:p>
            <w:pPr>
              <w:pStyle w:val="TableContents"/>
              <w:bidi w:val="0"/>
              <w:spacing w:before="0" w:after="283"/>
              <w:jc w:val="center"/>
              <w:rPr>
                <w:b/>
              </w:rPr>
            </w:pPr>
            <w:r>
              <w:rPr>
                <w:b/>
              </w:rPr>
              <w:t>Shares Withheld</w:t>
            </w:r>
          </w:p>
        </w:tc>
        <w:tc>
          <w:tcPr>
            <w:tcW w:w="60" w:type="dxa"/>
            <w:tcBorders/>
            <w:tcMar>
              <w:bottom w:w="0" w:type="dxa"/>
            </w:tcMar>
            <w:vAlign w:val="center"/>
          </w:tcPr>
          <w:p>
            <w:pPr>
              <w:pStyle w:val="TableContents"/>
              <w:bidi w:val="0"/>
              <w:spacing w:before="0" w:after="283"/>
              <w:jc w:val="left"/>
              <w:rPr/>
            </w:pPr>
            <w:r>
              <w:rPr/>
              <w:t> </w:t>
            </w:r>
          </w:p>
        </w:tc>
        <w:tc>
          <w:tcPr>
            <w:tcW w:w="1820" w:type="dxa"/>
            <w:tcBorders>
              <w:bottom w:val="single" w:sz="8" w:space="0" w:color="000000"/>
            </w:tcBorders>
            <w:vAlign w:val="center"/>
          </w:tcPr>
          <w:p>
            <w:pPr>
              <w:pStyle w:val="TableContents"/>
              <w:bidi w:val="0"/>
              <w:spacing w:before="0" w:after="283"/>
              <w:jc w:val="center"/>
              <w:rPr>
                <w:b/>
              </w:rPr>
            </w:pPr>
            <w:r>
              <w:rPr>
                <w:b/>
              </w:rPr>
              <w:t>Broker Non-Vote</w:t>
            </w:r>
          </w:p>
        </w:tc>
      </w:tr>
      <w:tr>
        <w:trPr/>
        <w:tc>
          <w:tcPr>
            <w:tcW w:w="1835" w:type="dxa"/>
            <w:tcBorders/>
            <w:shd w:fill="CCEEFF" w:val="clear"/>
            <w:tcMar>
              <w:bottom w:w="0" w:type="dxa"/>
            </w:tcMar>
            <w:vAlign w:val="center"/>
          </w:tcPr>
          <w:p>
            <w:pPr>
              <w:pStyle w:val="TableContents"/>
              <w:bidi w:val="0"/>
              <w:spacing w:before="0" w:after="283"/>
              <w:jc w:val="left"/>
              <w:rPr/>
            </w:pPr>
            <w:r>
              <w:rPr/>
              <w:t>James Walker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center"/>
              <w:rPr/>
            </w:pPr>
            <w:r>
              <w:rPr/>
              <w:t>18,271,208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pPr>
            <w:r>
              <w:rPr/>
              <w:t>458,350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center"/>
              <w:rPr/>
            </w:pPr>
            <w:r>
              <w:rPr/>
              <w:t>17,696,069</w:t>
            </w:r>
          </w:p>
        </w:tc>
      </w:tr>
      <w:tr>
        <w:trPr/>
        <w:tc>
          <w:tcPr>
            <w:tcW w:w="1835" w:type="dxa"/>
            <w:tcBorders/>
            <w:shd w:fill="FFFFFF" w:val="clear"/>
            <w:tcMar>
              <w:bottom w:w="0" w:type="dxa"/>
            </w:tcMar>
            <w:vAlign w:val="center"/>
          </w:tcPr>
          <w:p>
            <w:pPr>
              <w:pStyle w:val="TableContents"/>
              <w:bidi w:val="0"/>
              <w:spacing w:before="0" w:after="283"/>
              <w:jc w:val="left"/>
              <w:rPr/>
            </w:pPr>
            <w:r>
              <w:rPr/>
              <w:t>Jay Jiang Yu</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center"/>
              <w:rPr/>
            </w:pPr>
            <w:r>
              <w:rPr/>
              <w:t>18,394,629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center"/>
              <w:rPr/>
            </w:pPr>
            <w:r>
              <w:rPr/>
              <w:t>334,929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center"/>
              <w:rPr/>
            </w:pPr>
            <w:r>
              <w:rPr/>
              <w:t>17,696,069</w:t>
            </w:r>
          </w:p>
        </w:tc>
      </w:tr>
      <w:tr>
        <w:trPr/>
        <w:tc>
          <w:tcPr>
            <w:tcW w:w="1835" w:type="dxa"/>
            <w:tcBorders/>
            <w:shd w:fill="CCEEFF" w:val="clear"/>
            <w:tcMar>
              <w:bottom w:w="0" w:type="dxa"/>
            </w:tcMar>
            <w:vAlign w:val="center"/>
          </w:tcPr>
          <w:p>
            <w:pPr>
              <w:pStyle w:val="TableContents"/>
              <w:bidi w:val="0"/>
              <w:spacing w:before="0" w:after="283"/>
              <w:jc w:val="left"/>
              <w:rPr/>
            </w:pPr>
            <w:r>
              <w:rPr/>
              <w:t>Dr. Tsun Yee Law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center"/>
              <w:rPr/>
            </w:pPr>
            <w:r>
              <w:rPr/>
              <w:t>16,582,750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pPr>
            <w:r>
              <w:rPr/>
              <w:t>2,146,810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center"/>
              <w:rPr/>
            </w:pPr>
            <w:r>
              <w:rPr/>
              <w:t>17,696,069</w:t>
            </w:r>
          </w:p>
        </w:tc>
      </w:tr>
      <w:tr>
        <w:trPr/>
        <w:tc>
          <w:tcPr>
            <w:tcW w:w="1835" w:type="dxa"/>
            <w:tcBorders/>
            <w:shd w:fill="FFFFFF" w:val="clear"/>
            <w:tcMar>
              <w:bottom w:w="0" w:type="dxa"/>
            </w:tcMar>
            <w:vAlign w:val="center"/>
          </w:tcPr>
          <w:p>
            <w:pPr>
              <w:pStyle w:val="TableContents"/>
              <w:bidi w:val="0"/>
              <w:spacing w:before="0" w:after="283"/>
              <w:jc w:val="left"/>
              <w:rPr/>
            </w:pPr>
            <w:r>
              <w:rPr/>
              <w:t>Diane 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center"/>
              <w:rPr/>
            </w:pPr>
            <w:r>
              <w:rPr/>
              <w:t>13,804,415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center"/>
              <w:rPr/>
            </w:pPr>
            <w:r>
              <w:rPr/>
              <w:t>4,925,143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center"/>
              <w:rPr/>
            </w:pPr>
            <w:r>
              <w:rPr/>
              <w:t>17,696,069</w:t>
            </w:r>
          </w:p>
        </w:tc>
      </w:tr>
      <w:tr>
        <w:trPr/>
        <w:tc>
          <w:tcPr>
            <w:tcW w:w="1835" w:type="dxa"/>
            <w:tcBorders/>
            <w:shd w:fill="CCEEFF" w:val="clear"/>
            <w:tcMar>
              <w:bottom w:w="0" w:type="dxa"/>
            </w:tcMar>
            <w:vAlign w:val="center"/>
          </w:tcPr>
          <w:p>
            <w:pPr>
              <w:pStyle w:val="TableContents"/>
              <w:bidi w:val="0"/>
              <w:spacing w:before="0" w:after="283"/>
              <w:jc w:val="left"/>
              <w:rPr/>
            </w:pPr>
            <w:r>
              <w:rPr/>
              <w:t>Dr. Kenny 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center"/>
              <w:rPr/>
            </w:pPr>
            <w:r>
              <w:rPr/>
              <w:t>17,088,836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pPr>
            <w:r>
              <w:rPr/>
              <w:t>1,640,722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center"/>
              <w:rPr/>
            </w:pPr>
            <w:r>
              <w:rPr/>
              <w:t>17,696,069</w:t>
            </w:r>
          </w:p>
        </w:tc>
      </w:tr>
      <w:tr>
        <w:trPr/>
        <w:tc>
          <w:tcPr>
            <w:tcW w:w="1835" w:type="dxa"/>
            <w:tcBorders/>
            <w:shd w:fill="FFFFFF" w:val="clear"/>
            <w:tcMar>
              <w:bottom w:w="0" w:type="dxa"/>
            </w:tcMar>
            <w:vAlign w:val="center"/>
          </w:tcPr>
          <w:p>
            <w:pPr>
              <w:pStyle w:val="TableContents"/>
              <w:bidi w:val="0"/>
              <w:spacing w:before="0" w:after="283"/>
              <w:jc w:val="left"/>
              <w:rPr/>
            </w:pPr>
            <w:r>
              <w:rPr/>
              <w:t>Dr. Seth Berl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center"/>
              <w:rPr/>
            </w:pPr>
            <w:r>
              <w:rPr/>
              <w:t>18,434,926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center"/>
              <w:rPr/>
            </w:pPr>
            <w:r>
              <w:rPr/>
              <w:t>294,632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center"/>
              <w:rPr/>
            </w:pPr>
            <w:r>
              <w:rPr/>
              <w:t>17,696,069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Proposal No. 2 - Ratification of the Appointment of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by the Audit Committee of Company’s Board of Directors of Withum as the Company’s independent registered public accounting firm for the fiscal year ending September 30, 2026 was ratified. The voting results were as follows:</w:t>
      </w:r>
    </w:p>
    <w:p>
      <w:pPr>
        <w:pStyle w:val="TextBody"/>
        <w:bidi w:val="0"/>
        <w:spacing w:before="0" w:after="0"/>
        <w:ind w:left="0" w:right="0" w:hanging="0"/>
        <w:jc w:val="left"/>
        <w:rPr>
          <w:caps w:val="false"/>
          <w:smallCaps w:val="false"/>
        </w:rPr>
      </w:pPr>
      <w:r>
        <w:rPr>
          <w:caps w:val="false"/>
          <w:smallCaps w:val="false"/>
        </w:rPr>
        <w:t> </w:t>
      </w:r>
    </w:p>
    <w:tbl>
      <w:tblPr>
        <w:tblW w:w="6545" w:type="dxa"/>
        <w:jc w:val="left"/>
        <w:tblInd w:w="0" w:type="dxa"/>
        <w:tblLayout w:type="fixed"/>
        <w:tblCellMar>
          <w:top w:w="0" w:type="dxa"/>
          <w:left w:w="0" w:type="dxa"/>
          <w:bottom w:w="28" w:type="dxa"/>
          <w:right w:w="0" w:type="dxa"/>
        </w:tblCellMar>
      </w:tblPr>
      <w:tblGrid>
        <w:gridCol w:w="1505"/>
        <w:gridCol w:w="60"/>
        <w:gridCol w:w="1820"/>
        <w:gridCol w:w="60"/>
        <w:gridCol w:w="1550"/>
        <w:gridCol w:w="60"/>
        <w:gridCol w:w="1490"/>
      </w:tblGrid>
      <w:tr>
        <w:trPr/>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Voted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Voted 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Abstaining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w:t>
            </w:r>
          </w:p>
        </w:tc>
      </w:tr>
      <w:tr>
        <w:trPr/>
        <w:tc>
          <w:tcPr>
            <w:tcW w:w="15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35,678,632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496,290</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250,705</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69" w:type="dxa"/>
        <w:jc w:val="left"/>
        <w:tblInd w:w="0" w:type="dxa"/>
        <w:tblLayout w:type="fixed"/>
        <w:tblCellMar>
          <w:top w:w="0" w:type="dxa"/>
          <w:left w:w="0" w:type="dxa"/>
          <w:bottom w:w="0" w:type="dxa"/>
          <w:right w:w="0" w:type="dxa"/>
        </w:tblCellMar>
      </w:tblPr>
      <w:tblGrid>
        <w:gridCol w:w="2240"/>
        <w:gridCol w:w="654"/>
        <w:gridCol w:w="2275"/>
      </w:tblGrid>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29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NANO NUCLEAR ENERGY INC. </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29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17, 2026</w:t>
            </w:r>
          </w:p>
        </w:tc>
        <w:tc>
          <w:tcPr>
            <w:tcW w:w="65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w:t>
            </w:r>
          </w:p>
        </w:tc>
        <w:tc>
          <w:tcPr>
            <w:tcW w:w="22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Jaisun Garcha</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Jaisun Garcha</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6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816</Words>
  <Characters>4411</Characters>
  <CharactersWithSpaces>5220</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