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Yu Jiang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 TIMES SQUARE, 30TH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Nano Nuclear Energy Inc.</w:t>
              </w:r>
            </w:hyperlink>
            <w:r>
              <w:rPr/>
              <w:t xml:space="preserve"> [ </w:t>
            </w:r>
            <w:r>
              <w:rPr>
                <w:rFonts w:ascii="Times;serif" w:hAnsi="Times;serif"/>
                <w:color w:val="0000FF"/>
                <w:sz w:val="24"/>
                <w:shd w:fill="FFFFFF" w:val="clear"/>
              </w:rPr>
              <w:t>NNE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Chairman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23"/>
        <w:gridCol w:w="907"/>
        <w:gridCol w:w="779"/>
        <w:gridCol w:w="602"/>
        <w:gridCol w:w="334"/>
        <w:gridCol w:w="1040"/>
        <w:gridCol w:w="411"/>
        <w:gridCol w:w="981"/>
        <w:gridCol w:w="1228"/>
        <w:gridCol w:w="947"/>
        <w:gridCol w:w="105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5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332,569</w:t>
            </w:r>
            <w:r>
              <w:rPr>
                <w:rFonts w:ascii="Times;serif" w:hAnsi="Times;serif"/>
                <w:color w:val="008000"/>
                <w:position w:val="7"/>
                <w:sz w:val="16"/>
                <w:sz w:val="20"/>
                <w:shd w:fill="FFFFFF" w:val="clear"/>
              </w:rPr>
              <w:t>(1)</w:t>
            </w:r>
          </w:p>
        </w:tc>
        <w:tc>
          <w:tcPr>
            <w:tcW w:w="4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17.4454</w:t>
            </w:r>
            <w:r>
              <w:rPr>
                <w:rFonts w:ascii="Times;serif" w:hAnsi="Times;serif"/>
                <w:color w:val="008000"/>
                <w:position w:val="7"/>
                <w:sz w:val="16"/>
                <w:sz w:val="20"/>
                <w:shd w:fill="FFFFFF" w:val="clear"/>
              </w:rPr>
              <w:t>(2)</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7,891,431</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I Financial Ventures Group LLC</w:t>
            </w:r>
            <w:r>
              <w:rPr>
                <w:rFonts w:ascii="Times;serif" w:hAnsi="Times;serif"/>
                <w:color w:val="008000"/>
                <w:position w:val="7"/>
                <w:sz w:val="16"/>
                <w:sz w:val="20"/>
                <w:shd w:fill="FFFFFF" w:val="clear"/>
              </w:rPr>
              <w:t>(1)</w:t>
            </w:r>
          </w:p>
        </w:tc>
      </w:tr>
      <w:tr>
        <w:trPr/>
        <w:tc>
          <w:tcPr>
            <w:tcW w:w="19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141,931</w:t>
            </w:r>
            <w:r>
              <w:rPr>
                <w:rFonts w:ascii="Times;serif" w:hAnsi="Times;serif"/>
                <w:color w:val="008000"/>
                <w:position w:val="7"/>
                <w:sz w:val="16"/>
                <w:sz w:val="20"/>
                <w:shd w:fill="FFFFFF" w:val="clear"/>
              </w:rPr>
              <w:t>(1)</w:t>
            </w:r>
          </w:p>
        </w:tc>
        <w:tc>
          <w:tcPr>
            <w:tcW w:w="4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17.4849</w:t>
            </w:r>
            <w:r>
              <w:rPr>
                <w:rFonts w:ascii="Times;serif" w:hAnsi="Times;serif"/>
                <w:color w:val="008000"/>
                <w:position w:val="7"/>
                <w:sz w:val="16"/>
                <w:sz w:val="20"/>
                <w:shd w:fill="FFFFFF" w:val="clear"/>
              </w:rPr>
              <w:t>(3)</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7,749,500</w:t>
            </w:r>
          </w:p>
        </w:tc>
        <w:tc>
          <w:tcPr>
            <w:tcW w:w="9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I Financial Ventures Group LLC</w:t>
            </w:r>
            <w:r>
              <w:rPr>
                <w:rFonts w:ascii="Times;serif" w:hAnsi="Times;serif"/>
                <w:color w:val="008000"/>
                <w:position w:val="7"/>
                <w:sz w:val="16"/>
                <w:sz w:val="20"/>
                <w:shd w:fill="FFFFFF" w:val="clear"/>
              </w:rPr>
              <w:t>(1)</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were effected pursuant to a Rule 10b5-1 trading plan adopted by the reporting person in September 2025. The reporting person is the sole shareholder and director of I Financial Ventures Group LLC ("I Financial"), a limited liability company incorporated under the laws of Delaware, which is the record holder of the securities reported herein. The reporting person, as such, has investment control over the securities of the issuer held by I Financial and may be deemed the beneficial owner of such securities.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in multiple trades during the day at prices ranging from $17.0500 to $17.6100. The weighted-average price is reported above. The reporting person hereby undertakes to provide upon request to the SEC staff, the issuer or a security holder of the issuer full information regarding the number of shares and prices at which the transactions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transaction was executed in multiple trades during the day at prices ranging from $17.1700 to $17.7600. The weighted-average price is reported above. The reporting person hereby undertakes to provide upon request to the SEC staff, the issuer or a security holder of the issuer full information regarding the number of shares and prices at which the transactions were effected.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Jiang Yu</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99118" TargetMode="External"/><Relationship Id="rId5" Type="http://schemas.openxmlformats.org/officeDocument/2006/relationships/hyperlink" Target="http://www.sec.gov/cgi-bin/browse-edgar?action=getcompany&amp;CIK=00019238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792</Words>
  <Characters>4275</Characters>
  <CharactersWithSpaces>4988</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