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Nano Nuclear Energy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Nano Nuclear Energy Ord Shs</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Van Eck Associates Corporation</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3,819,847.00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3,819,847.00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3,819,847.00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7.3 %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Nano Nuclear Energy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10 TIMES SQUARE, 30TH FLOOR, New York NY 10018</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Van Eck Associates Corporation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666 Third Ave, 9th Floor, New York, 10017, NY, United States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DELAWARE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Nano Nuclear Energy Ord Shs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3,819,847</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7.3  %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3,819,847</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3,819,847</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VanEck Uranium and Nuclear ETF, an investment company registered under the Investment Company Act of 1940, has the right to receive dividends and proceeds from the sale of 3,819,847 of the shares reported by Van Eck Associates Corp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780" w:type="dxa"/>
        <w:jc w:val="left"/>
        <w:tblInd w:w="0" w:type="dxa"/>
        <w:tblLayout w:type="fixed"/>
        <w:tblCellMar>
          <w:top w:w="28" w:type="dxa"/>
          <w:left w:w="28" w:type="dxa"/>
          <w:bottom w:w="28" w:type="dxa"/>
          <w:right w:w="28" w:type="dxa"/>
        </w:tblCellMar>
      </w:tblPr>
      <w:tblGrid>
        <w:gridCol w:w="3390"/>
        <w:gridCol w:w="3390"/>
      </w:tblGrid>
      <w:tr>
        <w:trPr/>
        <w:tc>
          <w:tcPr>
            <w:tcW w:w="3390" w:type="dxa"/>
            <w:tcBorders/>
            <w:vAlign w:val="center"/>
          </w:tcPr>
          <w:p>
            <w:pPr>
              <w:pStyle w:val="TableContents"/>
              <w:bidi w:val="0"/>
              <w:spacing w:before="0" w:after="0"/>
              <w:jc w:val="left"/>
              <w:rPr/>
            </w:pPr>
            <w:r>
              <w:rPr/>
              <w:t> </w:t>
            </w:r>
          </w:p>
          <w:tbl>
            <w:tblPr>
              <w:tblW w:w="3271" w:type="dxa"/>
              <w:jc w:val="left"/>
              <w:tblInd w:w="0" w:type="dxa"/>
              <w:tblLayout w:type="fixed"/>
              <w:tblCellMar>
                <w:top w:w="28" w:type="dxa"/>
                <w:left w:w="28" w:type="dxa"/>
                <w:bottom w:w="28" w:type="dxa"/>
                <w:right w:w="28" w:type="dxa"/>
              </w:tblCellMar>
            </w:tblPr>
            <w:tblGrid>
              <w:gridCol w:w="3271"/>
            </w:tblGrid>
            <w:tr>
              <w:trPr/>
              <w:tc>
                <w:tcPr>
                  <w:tcW w:w="3271" w:type="dxa"/>
                  <w:tcBorders/>
                  <w:vAlign w:val="center"/>
                </w:tcPr>
                <w:p>
                  <w:pPr>
                    <w:pStyle w:val="TableContents"/>
                    <w:bidi w:val="0"/>
                    <w:spacing w:before="0" w:after="0"/>
                    <w:jc w:val="left"/>
                    <w:rPr/>
                  </w:pPr>
                  <w:r>
                    <w:rPr/>
                    <w:t>Van Eck Associates Corporation</w:t>
                  </w:r>
                </w:p>
              </w:tc>
            </w:tr>
          </w:tbl>
          <w:p>
            <w:pPr>
              <w:pStyle w:val="TableContents"/>
              <w:bidi w:val="0"/>
              <w:spacing w:before="0" w:after="283"/>
              <w:jc w:val="left"/>
              <w:rPr/>
            </w:pPr>
            <w:r>
              <w:rPr/>
            </w:r>
          </w:p>
        </w:tc>
        <w:tc>
          <w:tcPr>
            <w:tcW w:w="339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8"/>
        <w:gridCol w:w="4267"/>
      </w:tblGrid>
      <w:tr>
        <w:trPr/>
        <w:tc>
          <w:tcPr>
            <w:tcW w:w="593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Ashley Sousa</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AVP - Van Eck Associates Corporation</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867</Words>
  <Characters>4403</Characters>
  <CharactersWithSpaces>5261</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